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0806A1FE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532CCA">
        <w:rPr>
          <w:rFonts w:ascii="Arial" w:hAnsi="Arial" w:cs="Arial"/>
          <w:b/>
          <w:bCs/>
          <w:sz w:val="24"/>
        </w:rPr>
        <w:t>8</w:t>
      </w:r>
      <w:r w:rsidR="006616F6">
        <w:rPr>
          <w:rFonts w:ascii="Arial" w:hAnsi="Arial" w:cs="Arial"/>
          <w:b/>
          <w:bCs/>
          <w:sz w:val="24"/>
        </w:rPr>
        <w:t>bis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>R1-1</w:t>
      </w:r>
      <w:r w:rsidR="00ED4E56">
        <w:rPr>
          <w:rFonts w:ascii="Arial" w:hAnsi="Arial" w:cs="Arial"/>
          <w:b/>
          <w:bCs/>
          <w:sz w:val="24"/>
        </w:rPr>
        <w:t>9</w:t>
      </w:r>
      <w:r w:rsidR="00C87740">
        <w:rPr>
          <w:rFonts w:ascii="Arial" w:hAnsi="Arial" w:cs="Arial"/>
          <w:b/>
          <w:bCs/>
          <w:sz w:val="24"/>
        </w:rPr>
        <w:t>11333</w:t>
      </w:r>
      <w:r w:rsidR="00EF1127" w:rsidRPr="00A2299C">
        <w:rPr>
          <w:b/>
          <w:bCs/>
          <w:sz w:val="28"/>
          <w:szCs w:val="24"/>
        </w:rPr>
        <w:t xml:space="preserve"> </w:t>
      </w:r>
    </w:p>
    <w:p w14:paraId="56A15566" w14:textId="7184EB38" w:rsidR="004607C3" w:rsidRPr="00A2299C" w:rsidRDefault="00E03839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Chongqing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6616F6">
        <w:rPr>
          <w:rFonts w:ascii="Arial" w:hAnsi="Arial" w:cs="Arial"/>
          <w:b/>
          <w:bCs/>
          <w:sz w:val="24"/>
        </w:rPr>
        <w:t>China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14</w:t>
      </w:r>
      <w:r w:rsidR="001E5393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– </w:t>
      </w:r>
      <w:r w:rsidR="006616F6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0</w:t>
      </w:r>
      <w:r w:rsidR="006616F6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</w:t>
      </w:r>
      <w:r w:rsidR="007C3452">
        <w:rPr>
          <w:rFonts w:ascii="Arial" w:hAnsi="Arial" w:cs="Arial"/>
          <w:b/>
          <w:bCs/>
          <w:sz w:val="24"/>
        </w:rPr>
        <w:t>October</w:t>
      </w:r>
      <w:r w:rsidR="00C00997" w:rsidRPr="00C00997">
        <w:rPr>
          <w:rFonts w:ascii="Arial" w:hAnsi="Arial" w:cs="Arial"/>
          <w:b/>
          <w:bCs/>
          <w:sz w:val="24"/>
        </w:rPr>
        <w:t xml:space="preserve"> 2019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43CF6C9A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871C72" w:rsidRPr="00855868">
        <w:rPr>
          <w:rFonts w:ascii="Arial" w:hAnsi="Arial" w:cs="Arial"/>
          <w:b/>
          <w:sz w:val="22"/>
        </w:rPr>
        <w:t>7.2.</w:t>
      </w:r>
      <w:r w:rsidR="00D16954">
        <w:rPr>
          <w:rFonts w:ascii="Arial" w:hAnsi="Arial" w:cs="Arial"/>
          <w:b/>
          <w:sz w:val="22"/>
        </w:rPr>
        <w:t>4</w:t>
      </w:r>
      <w:r w:rsidR="00532CCA">
        <w:rPr>
          <w:rFonts w:ascii="Arial" w:hAnsi="Arial" w:cs="Arial"/>
          <w:b/>
          <w:sz w:val="22"/>
        </w:rPr>
        <w:t>.</w:t>
      </w:r>
      <w:r w:rsidR="00D16954">
        <w:rPr>
          <w:rFonts w:ascii="Arial" w:hAnsi="Arial" w:cs="Arial"/>
          <w:b/>
          <w:sz w:val="22"/>
        </w:rPr>
        <w:t>2.1</w:t>
      </w:r>
    </w:p>
    <w:p w14:paraId="7395AB72" w14:textId="3E6177D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D16954">
        <w:rPr>
          <w:rFonts w:ascii="Arial" w:hAnsi="Arial" w:cs="Arial"/>
          <w:b/>
          <w:sz w:val="22"/>
        </w:rPr>
        <w:t>Discussion on Resource Allocation for NR V2X Mode 1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FD520A">
      <w:pPr>
        <w:pStyle w:val="Heading1"/>
      </w:pPr>
      <w:r w:rsidRPr="000D37D3">
        <w:t>Introduction</w:t>
      </w:r>
    </w:p>
    <w:p w14:paraId="50B0473D" w14:textId="030DF816" w:rsidR="00C00997" w:rsidRDefault="00E92FE7" w:rsidP="00705C2B">
      <w:pPr>
        <w:rPr>
          <w:rFonts w:eastAsia="Batang"/>
          <w:lang w:eastAsia="ko-KR"/>
        </w:rPr>
      </w:pPr>
      <w:r w:rsidRPr="00E92FE7">
        <w:rPr>
          <w:rFonts w:eastAsia="Batang"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E82CA3" wp14:editId="6F9FE752">
                <wp:simplePos x="0" y="0"/>
                <wp:positionH relativeFrom="column">
                  <wp:posOffset>107315</wp:posOffset>
                </wp:positionH>
                <wp:positionV relativeFrom="paragraph">
                  <wp:posOffset>406400</wp:posOffset>
                </wp:positionV>
                <wp:extent cx="6038850" cy="309245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309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03D81" w14:textId="77777777" w:rsidR="00E92FE7" w:rsidRPr="00E92FE7" w:rsidRDefault="00E92FE7" w:rsidP="00E92FE7">
                            <w:pPr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E92FE7">
                              <w:rPr>
                                <w:i/>
                                <w:iCs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E92FE7">
                              <w:rPr>
                                <w:i/>
                                <w:iCs/>
                                <w:lang w:eastAsia="x-none"/>
                              </w:rPr>
                              <w:t>:</w:t>
                            </w:r>
                          </w:p>
                          <w:p w14:paraId="6C8475D2" w14:textId="77777777" w:rsidR="00E92FE7" w:rsidRPr="00E92FE7" w:rsidRDefault="00E92FE7" w:rsidP="00E92FE7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before="0" w:after="0" w:line="276" w:lineRule="auto"/>
                              <w:jc w:val="left"/>
                              <w:rPr>
                                <w:rFonts w:ascii="Times" w:hAnsi="Times" w:cs="Times"/>
                                <w:lang w:eastAsia="ja-JP"/>
                              </w:rPr>
                            </w:pPr>
                            <w:r w:rsidRPr="00E92FE7">
                              <w:rPr>
                                <w:rFonts w:ascii="Times" w:hAnsi="Times" w:cs="Times"/>
                                <w:lang w:eastAsia="ja-JP"/>
                              </w:rPr>
                              <w:t>For Mode-1, support both same-carrier &amp; cross-carrier scheduling from gNB to NR SL</w:t>
                            </w:r>
                          </w:p>
                          <w:p w14:paraId="30A8F213" w14:textId="77777777" w:rsidR="00E92FE7" w:rsidRPr="00E92FE7" w:rsidRDefault="00E92FE7" w:rsidP="00E92FE7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pacing w:before="0" w:after="0" w:line="276" w:lineRule="auto"/>
                              <w:jc w:val="left"/>
                              <w:rPr>
                                <w:rFonts w:ascii="Times" w:hAnsi="Times" w:cs="Times"/>
                                <w:lang w:eastAsia="ja-JP"/>
                              </w:rPr>
                            </w:pPr>
                            <w:r w:rsidRPr="00E92FE7">
                              <w:rPr>
                                <w:rFonts w:ascii="Times" w:hAnsi="Times" w:cs="Times"/>
                                <w:lang w:eastAsia="ja-JP"/>
                              </w:rPr>
                              <w:t>Whether or not to have the cross-carrier scheduling indicator in the DCI given that there is only one SL carrier for a UE in Rel-16</w:t>
                            </w:r>
                          </w:p>
                          <w:p w14:paraId="5C5B953F" w14:textId="77777777" w:rsidR="00E92FE7" w:rsidRDefault="00E92FE7" w:rsidP="00E92FE7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407983A1" w14:textId="77777777" w:rsidR="00E92FE7" w:rsidRPr="00E92FE7" w:rsidRDefault="00E92FE7" w:rsidP="00E92FE7">
                            <w:pPr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E92FE7">
                              <w:rPr>
                                <w:i/>
                                <w:iCs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E92FE7">
                              <w:rPr>
                                <w:i/>
                                <w:iCs/>
                                <w:lang w:eastAsia="x-none"/>
                              </w:rPr>
                              <w:t>:</w:t>
                            </w:r>
                          </w:p>
                          <w:p w14:paraId="10BB86FE" w14:textId="77777777" w:rsidR="00E92FE7" w:rsidRPr="00E92FE7" w:rsidRDefault="00E92FE7" w:rsidP="00E92FE7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before="0" w:after="0" w:line="276" w:lineRule="auto"/>
                              <w:jc w:val="left"/>
                              <w:rPr>
                                <w:rFonts w:ascii="Times" w:hAnsi="Times" w:cs="Times"/>
                                <w:lang w:eastAsia="ja-JP"/>
                              </w:rPr>
                            </w:pPr>
                            <w:r w:rsidRPr="00E92FE7">
                              <w:rPr>
                                <w:rFonts w:ascii="Times" w:hAnsi="Times" w:cs="Times"/>
                                <w:lang w:eastAsia="ja-JP"/>
                              </w:rPr>
                              <w:t>At least for dynamic grant, the timing and resource for PUCCH used for conveying SL HARQ feedback to the gNB are based on the indication(s) in the corresponding PDCCH</w:t>
                            </w:r>
                          </w:p>
                          <w:p w14:paraId="0536670A" w14:textId="77777777" w:rsidR="00E92FE7" w:rsidRPr="00E92FE7" w:rsidRDefault="00E92FE7" w:rsidP="00E92FE7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before="0" w:after="0" w:line="276" w:lineRule="auto"/>
                              <w:jc w:val="left"/>
                              <w:rPr>
                                <w:rFonts w:ascii="Times" w:hAnsi="Times" w:cs="Times"/>
                                <w:lang w:eastAsia="ja-JP"/>
                              </w:rPr>
                            </w:pPr>
                            <w:r w:rsidRPr="00E92FE7">
                              <w:rPr>
                                <w:rFonts w:ascii="Times" w:hAnsi="Times" w:cs="Times"/>
                                <w:lang w:eastAsia="ja-JP"/>
                              </w:rPr>
                              <w:t>Details FFS</w:t>
                            </w:r>
                          </w:p>
                          <w:p w14:paraId="11CBFFB7" w14:textId="77777777" w:rsidR="00E92FE7" w:rsidRPr="00E92FE7" w:rsidRDefault="00E92FE7" w:rsidP="00E92FE7">
                            <w:pPr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E92FE7">
                              <w:rPr>
                                <w:i/>
                                <w:iCs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E92FE7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:</w:t>
                            </w:r>
                          </w:p>
                          <w:p w14:paraId="5A1DBDDC" w14:textId="77777777" w:rsidR="00E92FE7" w:rsidRPr="007C7681" w:rsidRDefault="00E92FE7" w:rsidP="00E92FE7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before="0" w:after="0" w:line="276" w:lineRule="auto"/>
                              <w:jc w:val="left"/>
                              <w:rPr>
                                <w:bCs/>
                              </w:rPr>
                            </w:pPr>
                            <w:r w:rsidRPr="007C7681">
                              <w:rPr>
                                <w:bCs/>
                              </w:rPr>
                              <w:t>DCI indicates the slot offset between DCI reception and the first sidelink transmission scheduled by DCI.</w:t>
                            </w:r>
                          </w:p>
                          <w:p w14:paraId="42098B78" w14:textId="77777777" w:rsidR="00E92FE7" w:rsidRPr="007C7681" w:rsidRDefault="00E92FE7" w:rsidP="00E92FE7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pacing w:before="0" w:after="0" w:line="276" w:lineRule="auto"/>
                              <w:jc w:val="left"/>
                              <w:rPr>
                                <w:bCs/>
                              </w:rPr>
                            </w:pPr>
                            <w:r w:rsidRPr="007C7681">
                              <w:rPr>
                                <w:bCs/>
                              </w:rPr>
                              <w:t>The minimum gap between DCI and the first scheduled sidelink transmission is not smaller than the corresponding UE processing time.</w:t>
                            </w:r>
                          </w:p>
                          <w:p w14:paraId="03385FAD" w14:textId="77777777" w:rsidR="00E92FE7" w:rsidRPr="007C7681" w:rsidRDefault="00E92FE7" w:rsidP="00E92FE7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pacing w:before="0" w:after="0" w:line="276" w:lineRule="auto"/>
                              <w:jc w:val="left"/>
                              <w:rPr>
                                <w:bCs/>
                              </w:rPr>
                            </w:pPr>
                            <w:r w:rsidRPr="007C7681">
                              <w:rPr>
                                <w:bCs/>
                              </w:rPr>
                              <w:t>Details FFS</w:t>
                            </w:r>
                          </w:p>
                          <w:p w14:paraId="228471A1" w14:textId="475A10B8" w:rsidR="00E92FE7" w:rsidRDefault="00E92F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82C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45pt;margin-top:32pt;width:475.5pt;height:2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">
                <v:textbox>
                  <w:txbxContent>
                    <w:p w14:paraId="65403D81" w14:textId="77777777" w:rsidR="00E92FE7" w:rsidRPr="00E92FE7" w:rsidRDefault="00E92FE7" w:rsidP="00E92FE7">
                      <w:pPr>
                        <w:rPr>
                          <w:i/>
                          <w:iCs/>
                          <w:lang w:eastAsia="x-none"/>
                        </w:rPr>
                      </w:pPr>
                      <w:r w:rsidRPr="00E92FE7">
                        <w:rPr>
                          <w:i/>
                          <w:iCs/>
                          <w:highlight w:val="green"/>
                          <w:lang w:eastAsia="x-none"/>
                        </w:rPr>
                        <w:t>Agreements</w:t>
                      </w:r>
                      <w:r w:rsidRPr="00E92FE7">
                        <w:rPr>
                          <w:i/>
                          <w:iCs/>
                          <w:lang w:eastAsia="x-none"/>
                        </w:rPr>
                        <w:t>:</w:t>
                      </w:r>
                    </w:p>
                    <w:p w14:paraId="6C8475D2" w14:textId="77777777" w:rsidR="00E92FE7" w:rsidRPr="00E92FE7" w:rsidRDefault="00E92FE7" w:rsidP="00E92FE7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before="0" w:after="0" w:line="276" w:lineRule="auto"/>
                        <w:jc w:val="left"/>
                        <w:rPr>
                          <w:rFonts w:ascii="Times" w:hAnsi="Times" w:cs="Times"/>
                          <w:lang w:eastAsia="ja-JP"/>
                        </w:rPr>
                      </w:pPr>
                      <w:r w:rsidRPr="00E92FE7">
                        <w:rPr>
                          <w:rFonts w:ascii="Times" w:hAnsi="Times" w:cs="Times"/>
                          <w:lang w:eastAsia="ja-JP"/>
                        </w:rPr>
                        <w:t>For Mode-1, support both same-carrier &amp; cross-carrier scheduling from gNB to NR SL</w:t>
                      </w:r>
                    </w:p>
                    <w:p w14:paraId="30A8F213" w14:textId="77777777" w:rsidR="00E92FE7" w:rsidRPr="00E92FE7" w:rsidRDefault="00E92FE7" w:rsidP="00E92FE7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pacing w:before="0" w:after="0" w:line="276" w:lineRule="auto"/>
                        <w:jc w:val="left"/>
                        <w:rPr>
                          <w:rFonts w:ascii="Times" w:hAnsi="Times" w:cs="Times"/>
                          <w:lang w:eastAsia="ja-JP"/>
                        </w:rPr>
                      </w:pPr>
                      <w:r w:rsidRPr="00E92FE7">
                        <w:rPr>
                          <w:rFonts w:ascii="Times" w:hAnsi="Times" w:cs="Times"/>
                          <w:lang w:eastAsia="ja-JP"/>
                        </w:rPr>
                        <w:t>Whether or not to have the cross-carrier scheduling indicator in the DCI given that there is only one SL carrier for a UE in Rel-16</w:t>
                      </w:r>
                    </w:p>
                    <w:p w14:paraId="5C5B953F" w14:textId="77777777" w:rsidR="00E92FE7" w:rsidRDefault="00E92FE7" w:rsidP="00E92FE7">
                      <w:pPr>
                        <w:rPr>
                          <w:lang w:eastAsia="x-none"/>
                        </w:rPr>
                      </w:pPr>
                    </w:p>
                    <w:p w14:paraId="407983A1" w14:textId="77777777" w:rsidR="00E92FE7" w:rsidRPr="00E92FE7" w:rsidRDefault="00E92FE7" w:rsidP="00E92FE7">
                      <w:pPr>
                        <w:rPr>
                          <w:i/>
                          <w:iCs/>
                          <w:lang w:eastAsia="x-none"/>
                        </w:rPr>
                      </w:pPr>
                      <w:r w:rsidRPr="00E92FE7">
                        <w:rPr>
                          <w:i/>
                          <w:iCs/>
                          <w:highlight w:val="green"/>
                          <w:lang w:eastAsia="x-none"/>
                        </w:rPr>
                        <w:t>Agreements</w:t>
                      </w:r>
                      <w:r w:rsidRPr="00E92FE7">
                        <w:rPr>
                          <w:i/>
                          <w:iCs/>
                          <w:lang w:eastAsia="x-none"/>
                        </w:rPr>
                        <w:t>:</w:t>
                      </w:r>
                    </w:p>
                    <w:p w14:paraId="10BB86FE" w14:textId="77777777" w:rsidR="00E92FE7" w:rsidRPr="00E92FE7" w:rsidRDefault="00E92FE7" w:rsidP="00E92FE7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before="0" w:after="0" w:line="276" w:lineRule="auto"/>
                        <w:jc w:val="left"/>
                        <w:rPr>
                          <w:rFonts w:ascii="Times" w:hAnsi="Times" w:cs="Times"/>
                          <w:lang w:eastAsia="ja-JP"/>
                        </w:rPr>
                      </w:pPr>
                      <w:r w:rsidRPr="00E92FE7">
                        <w:rPr>
                          <w:rFonts w:ascii="Times" w:hAnsi="Times" w:cs="Times"/>
                          <w:lang w:eastAsia="ja-JP"/>
                        </w:rPr>
                        <w:t>At least for dynamic grant, the timing and resource for PUCCH used for conveying SL HARQ feedback to the gNB are based on the indication(s) in the corresponding PDCCH</w:t>
                      </w:r>
                    </w:p>
                    <w:p w14:paraId="0536670A" w14:textId="77777777" w:rsidR="00E92FE7" w:rsidRPr="00E92FE7" w:rsidRDefault="00E92FE7" w:rsidP="00E92FE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before="0" w:after="0" w:line="276" w:lineRule="auto"/>
                        <w:jc w:val="left"/>
                        <w:rPr>
                          <w:rFonts w:ascii="Times" w:hAnsi="Times" w:cs="Times"/>
                          <w:lang w:eastAsia="ja-JP"/>
                        </w:rPr>
                      </w:pPr>
                      <w:r w:rsidRPr="00E92FE7">
                        <w:rPr>
                          <w:rFonts w:ascii="Times" w:hAnsi="Times" w:cs="Times"/>
                          <w:lang w:eastAsia="ja-JP"/>
                        </w:rPr>
                        <w:t>Details FFS</w:t>
                      </w:r>
                    </w:p>
                    <w:p w14:paraId="11CBFFB7" w14:textId="77777777" w:rsidR="00E92FE7" w:rsidRPr="00E92FE7" w:rsidRDefault="00E92FE7" w:rsidP="00E92FE7">
                      <w:pPr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</w:pPr>
                      <w:r w:rsidRPr="00E92FE7">
                        <w:rPr>
                          <w:i/>
                          <w:iCs/>
                          <w:highlight w:val="green"/>
                          <w:lang w:eastAsia="x-none"/>
                        </w:rPr>
                        <w:t>Agreements</w:t>
                      </w:r>
                      <w:r w:rsidRPr="00E92FE7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:</w:t>
                      </w:r>
                    </w:p>
                    <w:p w14:paraId="5A1DBDDC" w14:textId="77777777" w:rsidR="00E92FE7" w:rsidRPr="007C7681" w:rsidRDefault="00E92FE7" w:rsidP="00E92FE7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before="0" w:after="0" w:line="276" w:lineRule="auto"/>
                        <w:jc w:val="left"/>
                        <w:rPr>
                          <w:bCs/>
                        </w:rPr>
                      </w:pPr>
                      <w:r w:rsidRPr="007C7681">
                        <w:rPr>
                          <w:bCs/>
                        </w:rPr>
                        <w:t>DCI indicates the slot offset between DCI reception and the first sidelink transmission scheduled by DCI.</w:t>
                      </w:r>
                    </w:p>
                    <w:p w14:paraId="42098B78" w14:textId="77777777" w:rsidR="00E92FE7" w:rsidRPr="007C7681" w:rsidRDefault="00E92FE7" w:rsidP="00E92FE7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pacing w:before="0" w:after="0" w:line="276" w:lineRule="auto"/>
                        <w:jc w:val="left"/>
                        <w:rPr>
                          <w:bCs/>
                        </w:rPr>
                      </w:pPr>
                      <w:r w:rsidRPr="007C7681">
                        <w:rPr>
                          <w:bCs/>
                        </w:rPr>
                        <w:t>The minimum gap between DCI and the first scheduled sidelink transmission is not smaller than the corresponding UE processing time.</w:t>
                      </w:r>
                    </w:p>
                    <w:p w14:paraId="03385FAD" w14:textId="77777777" w:rsidR="00E92FE7" w:rsidRPr="007C7681" w:rsidRDefault="00E92FE7" w:rsidP="00E92FE7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pacing w:before="0" w:after="0" w:line="276" w:lineRule="auto"/>
                        <w:jc w:val="left"/>
                        <w:rPr>
                          <w:bCs/>
                        </w:rPr>
                      </w:pPr>
                      <w:r w:rsidRPr="007C7681">
                        <w:rPr>
                          <w:bCs/>
                        </w:rPr>
                        <w:t>Details FFS</w:t>
                      </w:r>
                    </w:p>
                    <w:p w14:paraId="228471A1" w14:textId="475A10B8" w:rsidR="00E92FE7" w:rsidRDefault="00E92FE7"/>
                  </w:txbxContent>
                </v:textbox>
                <w10:wrap type="square"/>
              </v:shape>
            </w:pict>
          </mc:Fallback>
        </mc:AlternateContent>
      </w:r>
      <w:r w:rsidR="00E2199A">
        <w:rPr>
          <w:rFonts w:eastAsia="Batang"/>
          <w:lang w:eastAsia="ko-KR"/>
        </w:rPr>
        <w:t>T</w:t>
      </w:r>
      <w:r w:rsidR="00B65E0E">
        <w:rPr>
          <w:rFonts w:eastAsia="Batang"/>
          <w:lang w:eastAsia="ko-KR"/>
        </w:rPr>
        <w:t xml:space="preserve">he </w:t>
      </w:r>
      <w:r w:rsidR="00532CCA">
        <w:rPr>
          <w:rFonts w:eastAsia="Batang"/>
          <w:lang w:eastAsia="ko-KR"/>
        </w:rPr>
        <w:t>following agreements</w:t>
      </w:r>
      <w:r>
        <w:rPr>
          <w:rFonts w:eastAsia="Batang"/>
          <w:lang w:eastAsia="ko-KR"/>
        </w:rPr>
        <w:t xml:space="preserve"> for resource allocation for NR</w:t>
      </w:r>
      <w:r w:rsidR="00C00997">
        <w:rPr>
          <w:rFonts w:eastAsia="Batang"/>
          <w:lang w:eastAsia="ko-KR"/>
        </w:rPr>
        <w:t xml:space="preserve"> </w:t>
      </w:r>
      <w:r w:rsidR="00532CCA">
        <w:rPr>
          <w:rFonts w:eastAsia="Batang"/>
          <w:lang w:eastAsia="ko-KR"/>
        </w:rPr>
        <w:t>were made in</w:t>
      </w:r>
      <w:r w:rsidR="00CD1300">
        <w:rPr>
          <w:rFonts w:eastAsia="Batang"/>
          <w:lang w:eastAsia="ko-KR"/>
        </w:rPr>
        <w:t xml:space="preserve"> RAN1 #98 </w:t>
      </w:r>
      <w:r w:rsidR="00C507CE">
        <w:rPr>
          <w:rFonts w:eastAsia="Batang"/>
          <w:lang w:eastAsia="ko-KR"/>
        </w:rPr>
        <w:fldChar w:fldCharType="begin"/>
      </w:r>
      <w:r w:rsidR="00C507CE">
        <w:rPr>
          <w:rFonts w:eastAsia="Batang"/>
          <w:lang w:eastAsia="ko-KR"/>
        </w:rPr>
        <w:instrText xml:space="preserve"> REF _Ref528924709 \n \h </w:instrText>
      </w:r>
      <w:r w:rsidR="00705C2B">
        <w:rPr>
          <w:rFonts w:eastAsia="Batang"/>
          <w:lang w:eastAsia="ko-KR"/>
        </w:rPr>
        <w:instrText xml:space="preserve"> \* MERGEFORMAT </w:instrText>
      </w:r>
      <w:r w:rsidR="00C507CE">
        <w:rPr>
          <w:rFonts w:eastAsia="Batang"/>
          <w:lang w:eastAsia="ko-KR"/>
        </w:rPr>
      </w:r>
      <w:r w:rsidR="00C507CE">
        <w:rPr>
          <w:rFonts w:eastAsia="Batang"/>
          <w:lang w:eastAsia="ko-KR"/>
        </w:rPr>
        <w:fldChar w:fldCharType="separate"/>
      </w:r>
      <w:r w:rsidR="00AC45F7">
        <w:rPr>
          <w:rFonts w:eastAsia="Batang"/>
          <w:lang w:eastAsia="ko-KR"/>
        </w:rPr>
        <w:t>[1]</w:t>
      </w:r>
      <w:r w:rsidR="00C507CE">
        <w:rPr>
          <w:rFonts w:eastAsia="Batang"/>
          <w:lang w:eastAsia="ko-KR"/>
        </w:rPr>
        <w:fldChar w:fldCharType="end"/>
      </w:r>
      <w:r w:rsidR="00C00997">
        <w:rPr>
          <w:rFonts w:eastAsia="Batang"/>
          <w:lang w:eastAsia="ko-KR"/>
        </w:rPr>
        <w:t>:</w:t>
      </w:r>
    </w:p>
    <w:p w14:paraId="55CEB20D" w14:textId="3CF702C2" w:rsidR="00E92FE7" w:rsidRDefault="00E92FE7" w:rsidP="00705C2B">
      <w:pPr>
        <w:rPr>
          <w:rFonts w:eastAsia="Batang"/>
          <w:lang w:eastAsia="ko-KR"/>
        </w:rPr>
      </w:pPr>
    </w:p>
    <w:p w14:paraId="6B31A5F0" w14:textId="03B9DF01" w:rsidR="00CD1300" w:rsidRDefault="00CD1300" w:rsidP="00705C2B">
      <w:pPr>
        <w:rPr>
          <w:lang w:eastAsia="zh-CN"/>
        </w:rPr>
      </w:pPr>
      <w:r w:rsidRPr="00C81CBF">
        <w:rPr>
          <w:lang w:eastAsia="zh-CN"/>
        </w:rPr>
        <w:t>In this paper, we discuss</w:t>
      </w:r>
      <w:r>
        <w:rPr>
          <w:lang w:eastAsia="zh-CN"/>
        </w:rPr>
        <w:t xml:space="preserve"> the details on</w:t>
      </w:r>
      <w:r w:rsidRPr="00C81CBF">
        <w:rPr>
          <w:lang w:eastAsia="zh-CN"/>
        </w:rPr>
        <w:t xml:space="preserve"> </w:t>
      </w:r>
      <w:r>
        <w:rPr>
          <w:lang w:eastAsia="zh-CN"/>
        </w:rPr>
        <w:t>r</w:t>
      </w:r>
      <w:r w:rsidRPr="00CD1300">
        <w:rPr>
          <w:lang w:eastAsia="zh-CN"/>
        </w:rPr>
        <w:t xml:space="preserve">esource </w:t>
      </w:r>
      <w:r>
        <w:rPr>
          <w:lang w:eastAsia="zh-CN"/>
        </w:rPr>
        <w:t>a</w:t>
      </w:r>
      <w:r w:rsidRPr="00CD1300">
        <w:rPr>
          <w:lang w:eastAsia="zh-CN"/>
        </w:rPr>
        <w:t xml:space="preserve">llocation for NR V2X </w:t>
      </w:r>
      <w:r>
        <w:rPr>
          <w:lang w:eastAsia="zh-CN"/>
        </w:rPr>
        <w:t>m</w:t>
      </w:r>
      <w:r w:rsidRPr="00CD1300">
        <w:rPr>
          <w:lang w:eastAsia="zh-CN"/>
        </w:rPr>
        <w:t>ode 1</w:t>
      </w:r>
      <w:r w:rsidRPr="00C81CBF">
        <w:rPr>
          <w:lang w:eastAsia="zh-CN"/>
        </w:rPr>
        <w:t>.</w:t>
      </w:r>
    </w:p>
    <w:p w14:paraId="45D16BAA" w14:textId="77777777" w:rsidR="00CD1300" w:rsidRDefault="00CD1300" w:rsidP="00705C2B">
      <w:pPr>
        <w:rPr>
          <w:rFonts w:eastAsia="Batang"/>
          <w:lang w:eastAsia="ko-KR"/>
        </w:rPr>
      </w:pPr>
    </w:p>
    <w:p w14:paraId="76C70D2E" w14:textId="3A6FFA5F" w:rsidR="00C70E00" w:rsidRDefault="003B1D66" w:rsidP="00C70E00">
      <w:pPr>
        <w:pStyle w:val="Heading1"/>
      </w:pPr>
      <w:r>
        <w:t xml:space="preserve">Dynamic grant </w:t>
      </w:r>
    </w:p>
    <w:p w14:paraId="3E226742" w14:textId="151A38F7" w:rsidR="00D62E18" w:rsidRDefault="00F544CF" w:rsidP="00115088">
      <w:pPr>
        <w:pStyle w:val="Heading2"/>
        <w:numPr>
          <w:ilvl w:val="1"/>
          <w:numId w:val="28"/>
        </w:numPr>
        <w:ind w:left="0" w:firstLine="0"/>
      </w:pPr>
      <w:r>
        <w:t>DCI format</w:t>
      </w:r>
    </w:p>
    <w:p w14:paraId="5E7EE7DB" w14:textId="04BF5293" w:rsidR="003B1D66" w:rsidRDefault="00323072" w:rsidP="00323072">
      <w:pPr>
        <w:spacing w:line="360" w:lineRule="auto"/>
      </w:pPr>
      <w:r>
        <w:t xml:space="preserve">In NR V2X mode 1, for dynamic grant scenario, gNB </w:t>
      </w:r>
      <w:r w:rsidR="005B7C1C">
        <w:t>sends</w:t>
      </w:r>
      <w:r>
        <w:t xml:space="preserve"> </w:t>
      </w:r>
      <w:r w:rsidR="00D303E5">
        <w:t>a</w:t>
      </w:r>
      <w:r>
        <w:t xml:space="preserve"> DCI to schedule </w:t>
      </w:r>
      <w:r w:rsidR="00D303E5">
        <w:t>a</w:t>
      </w:r>
      <w:r>
        <w:t xml:space="preserve"> sidelink transmission </w:t>
      </w:r>
      <w:r w:rsidR="00D303E5">
        <w:t>with</w:t>
      </w:r>
      <w:r>
        <w:t xml:space="preserve"> </w:t>
      </w:r>
      <w:r w:rsidR="005B7C1C">
        <w:t xml:space="preserve">the </w:t>
      </w:r>
      <w:r>
        <w:t xml:space="preserve">resources to be used. </w:t>
      </w:r>
      <w:r w:rsidR="00D303E5">
        <w:t>A n</w:t>
      </w:r>
      <w:r>
        <w:t>ew DCI format need</w:t>
      </w:r>
      <w:r w:rsidR="00D303E5">
        <w:t>s</w:t>
      </w:r>
      <w:r>
        <w:t xml:space="preserve"> to be designed and </w:t>
      </w:r>
      <w:r w:rsidR="00D303E5">
        <w:t xml:space="preserve">a </w:t>
      </w:r>
      <w:r>
        <w:t>new RNTI need</w:t>
      </w:r>
      <w:r w:rsidR="00927EE8">
        <w:t>s</w:t>
      </w:r>
      <w:r>
        <w:t xml:space="preserve"> to be introduced to serve this purpose</w:t>
      </w:r>
      <w:r w:rsidR="00D303E5">
        <w:t xml:space="preserve"> to</w:t>
      </w:r>
      <w:bookmarkStart w:id="1" w:name="_Hlk21333065"/>
      <w:r w:rsidR="005B7C1C">
        <w:t xml:space="preserve"> support </w:t>
      </w:r>
      <w:r w:rsidR="00D303E5">
        <w:t xml:space="preserve">a </w:t>
      </w:r>
      <w:r w:rsidR="006966E3">
        <w:t xml:space="preserve">broadcast, groupcast </w:t>
      </w:r>
      <w:r w:rsidR="00D303E5">
        <w:t>or</w:t>
      </w:r>
      <w:r w:rsidR="006966E3">
        <w:t xml:space="preserve"> unicast </w:t>
      </w:r>
      <w:bookmarkEnd w:id="1"/>
      <w:r w:rsidR="006966E3">
        <w:t>transmission</w:t>
      </w:r>
      <w:r w:rsidR="005B7C1C">
        <w:t xml:space="preserve"> on the sidelink</w:t>
      </w:r>
      <w:r w:rsidR="006966E3">
        <w:t xml:space="preserve">. To reduce the burden of the blind decoding </w:t>
      </w:r>
      <w:r w:rsidR="00927EE8">
        <w:t xml:space="preserve">of </w:t>
      </w:r>
      <w:r w:rsidR="006966E3">
        <w:t xml:space="preserve">the DCI on the UE side, it </w:t>
      </w:r>
      <w:r w:rsidR="005B7C1C">
        <w:t>is</w:t>
      </w:r>
      <w:r w:rsidR="006966E3">
        <w:t xml:space="preserve"> preferable that gNB sends the DCI using the same DCI format for all these three cases.  </w:t>
      </w:r>
    </w:p>
    <w:p w14:paraId="5285888C" w14:textId="5328B0DA" w:rsidR="00EC7543" w:rsidRDefault="00EC7543" w:rsidP="00E57569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5B158D9C" w14:textId="77777777" w:rsidR="00E57569" w:rsidRDefault="00E57569" w:rsidP="00E57569">
      <w:pPr>
        <w:spacing w:after="0"/>
        <w:rPr>
          <w:b/>
          <w:i/>
        </w:rPr>
      </w:pPr>
    </w:p>
    <w:p w14:paraId="21486A28" w14:textId="1FE162D9" w:rsidR="00EC7543" w:rsidRDefault="00E57569" w:rsidP="00EC7543">
      <w:pPr>
        <w:spacing w:after="0" w:line="360" w:lineRule="auto"/>
      </w:pPr>
      <w:r>
        <w:rPr>
          <w:bCs/>
          <w:iCs/>
        </w:rPr>
        <w:t>For different</w:t>
      </w:r>
      <w:r w:rsidR="00D87EC1">
        <w:rPr>
          <w:bCs/>
          <w:iCs/>
        </w:rPr>
        <w:t xml:space="preserve"> cast</w:t>
      </w:r>
      <w:r>
        <w:rPr>
          <w:bCs/>
          <w:iCs/>
        </w:rPr>
        <w:t xml:space="preserve"> types, e.g., </w:t>
      </w:r>
      <w:r>
        <w:t xml:space="preserve">broadcast, groupcast </w:t>
      </w:r>
      <w:r w:rsidR="00A404D5">
        <w:t>and</w:t>
      </w:r>
      <w:r>
        <w:t xml:space="preserve"> unicast, </w:t>
      </w:r>
      <w:r w:rsidR="00A404D5">
        <w:t xml:space="preserve">the </w:t>
      </w:r>
      <w:r>
        <w:t>UE may need to interpret the received DCI in different ways since different fields may be carried by the DCI. Therefore, a UE need</w:t>
      </w:r>
      <w:r w:rsidR="00D303E5">
        <w:t>s</w:t>
      </w:r>
      <w:r>
        <w:t xml:space="preserve"> to differentiate whether the received DCI is </w:t>
      </w:r>
      <w:r>
        <w:lastRenderedPageBreak/>
        <w:t xml:space="preserve">for broadcast, groupcast or unicast. To serve this purpose, </w:t>
      </w:r>
      <w:r w:rsidR="00D87EC1">
        <w:t>one approach is that</w:t>
      </w:r>
      <w:r w:rsidR="00A404D5">
        <w:t xml:space="preserve"> the</w:t>
      </w:r>
      <w:r w:rsidR="00D87EC1">
        <w:t xml:space="preserve"> </w:t>
      </w:r>
      <w:r>
        <w:t xml:space="preserve">gNB </w:t>
      </w:r>
      <w:r w:rsidR="00D87EC1">
        <w:t>can allocate different RNTIs for different cast types. However, the</w:t>
      </w:r>
      <w:r w:rsidR="00A404D5" w:rsidRPr="00A404D5">
        <w:t xml:space="preserve"> drawback</w:t>
      </w:r>
      <w:r w:rsidR="00A404D5">
        <w:t xml:space="preserve"> of this approach is that the</w:t>
      </w:r>
      <w:r w:rsidR="00D87EC1">
        <w:t xml:space="preserve"> UE need</w:t>
      </w:r>
      <w:r w:rsidR="00D303E5">
        <w:t>s</w:t>
      </w:r>
      <w:r w:rsidR="00D87EC1">
        <w:t xml:space="preserve"> to blind decode for all the three possibilities. Another approach is that</w:t>
      </w:r>
      <w:r w:rsidR="00A404D5">
        <w:t xml:space="preserve"> the</w:t>
      </w:r>
      <w:r w:rsidR="00D87EC1">
        <w:t xml:space="preserve"> gNB can indicate the cast type information in the scheduling DCI. In our view, the second approach would be preferable since it can reduce the </w:t>
      </w:r>
      <w:r w:rsidR="00DF4CCD">
        <w:t xml:space="preserve">number of </w:t>
      </w:r>
      <w:proofErr w:type="gramStart"/>
      <w:r w:rsidR="00DF4CCD">
        <w:t>blind</w:t>
      </w:r>
      <w:proofErr w:type="gramEnd"/>
      <w:r w:rsidR="00DF4CCD">
        <w:t xml:space="preserve"> decodes without introducing large signalling overhead.</w:t>
      </w:r>
    </w:p>
    <w:p w14:paraId="4C416180" w14:textId="6AF4689A" w:rsidR="00DF4CCD" w:rsidRDefault="00DF4CCD" w:rsidP="00DF4CCD">
      <w:pPr>
        <w:spacing w:after="0" w:line="360" w:lineRule="auto"/>
        <w:rPr>
          <w:b/>
          <w:i/>
        </w:rPr>
      </w:pPr>
      <w:r>
        <w:rPr>
          <w:b/>
          <w:i/>
        </w:rPr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</w:t>
      </w:r>
      <w:r w:rsidRPr="00C54926">
        <w:rPr>
          <w:b/>
          <w:i/>
          <w:lang w:eastAsia="zh-CN"/>
        </w:rPr>
        <w:t>or dynamic grant</w:t>
      </w:r>
      <w:r>
        <w:rPr>
          <w:b/>
          <w:i/>
          <w:lang w:eastAsia="zh-CN"/>
        </w:rPr>
        <w:t xml:space="preserve">, gNB sends an indication in DCI for the UEs to </w:t>
      </w:r>
      <w:r w:rsidRPr="00DF4CCD">
        <w:rPr>
          <w:b/>
          <w:i/>
          <w:lang w:eastAsia="zh-CN"/>
        </w:rPr>
        <w:t>differentiate</w:t>
      </w:r>
      <w:r>
        <w:rPr>
          <w:b/>
          <w:i/>
          <w:lang w:eastAsia="zh-CN"/>
        </w:rPr>
        <w:t xml:space="preserve"> the </w:t>
      </w:r>
      <w:r w:rsidRPr="00DF4CCD">
        <w:rPr>
          <w:b/>
          <w:i/>
          <w:lang w:eastAsia="zh-CN"/>
        </w:rPr>
        <w:t xml:space="preserve">cast types, </w:t>
      </w:r>
      <w:r>
        <w:rPr>
          <w:b/>
          <w:i/>
          <w:lang w:eastAsia="zh-CN"/>
        </w:rPr>
        <w:t xml:space="preserve">e.g., </w:t>
      </w:r>
      <w:r w:rsidRPr="00DF4CCD">
        <w:rPr>
          <w:b/>
          <w:i/>
          <w:lang w:eastAsia="zh-CN"/>
        </w:rPr>
        <w:t>broadcast, groupcast or unicast</w:t>
      </w:r>
      <w:r>
        <w:rPr>
          <w:b/>
          <w:i/>
        </w:rPr>
        <w:t>.</w:t>
      </w:r>
    </w:p>
    <w:p w14:paraId="5D0DE9F8" w14:textId="77777777" w:rsidR="00E57569" w:rsidRPr="00EC7543" w:rsidRDefault="00E57569" w:rsidP="00EC7543">
      <w:pPr>
        <w:spacing w:after="0" w:line="360" w:lineRule="auto"/>
        <w:rPr>
          <w:bCs/>
          <w:iCs/>
        </w:rPr>
      </w:pPr>
    </w:p>
    <w:p w14:paraId="0A1420F9" w14:textId="53CC9FFF" w:rsidR="003B1D66" w:rsidRDefault="003B1D66" w:rsidP="003B1D66">
      <w:pPr>
        <w:pStyle w:val="Heading2"/>
        <w:numPr>
          <w:ilvl w:val="1"/>
          <w:numId w:val="28"/>
        </w:numPr>
        <w:ind w:left="0" w:firstLine="0"/>
      </w:pPr>
      <w:r>
        <w:t>HARQ operation</w:t>
      </w:r>
    </w:p>
    <w:p w14:paraId="0B5960DA" w14:textId="73C768B2" w:rsidR="00AF08E7" w:rsidRPr="00AF08E7" w:rsidRDefault="0056293B" w:rsidP="0056293B">
      <w:pPr>
        <w:spacing w:line="360" w:lineRule="auto"/>
      </w:pPr>
      <w:r>
        <w:t>Supporting the HARQ feedback on the sidelink is a new feature introduced in NR to improve the reliability of the V2X communication. To support this feature, in NR V2X mode 1,</w:t>
      </w:r>
      <w:r w:rsidR="00A404D5">
        <w:t xml:space="preserve"> the</w:t>
      </w:r>
      <w:r>
        <w:t xml:space="preserve"> gNB need</w:t>
      </w:r>
      <w:r w:rsidR="00F84170">
        <w:t>s</w:t>
      </w:r>
      <w:r>
        <w:t xml:space="preserve"> to allocate resources to be used by the UEs</w:t>
      </w:r>
      <w:r w:rsidR="00A404D5">
        <w:t xml:space="preserve"> for sending the feedback</w:t>
      </w:r>
      <w:r>
        <w:t xml:space="preserve"> on both the sidelink and the Uu interface. </w:t>
      </w:r>
      <w:r>
        <w:rPr>
          <w:rFonts w:eastAsia="Batang"/>
          <w:lang w:eastAsia="ko-KR"/>
        </w:rPr>
        <w:t xml:space="preserve">In RAN1 #98, it has been agreed that, for dynamic scheduling, the </w:t>
      </w:r>
      <w:r>
        <w:t xml:space="preserve">resource used for conveying the </w:t>
      </w:r>
      <w:r w:rsidR="00BB4A44" w:rsidRPr="00A404D5">
        <w:t xml:space="preserve">sidelink </w:t>
      </w:r>
      <w:r>
        <w:t xml:space="preserve">HARQ feedback on the </w:t>
      </w:r>
      <w:r w:rsidR="00C54926">
        <w:t xml:space="preserve">Uu interface is scheduled by the scheduling DCI. Similar idea can be also applied to the scheduling of </w:t>
      </w:r>
      <w:r w:rsidR="00A404D5">
        <w:t xml:space="preserve">the </w:t>
      </w:r>
      <w:r w:rsidR="00C54926">
        <w:t>feedback resource</w:t>
      </w:r>
      <w:r w:rsidR="00A404D5">
        <w:t xml:space="preserve"> to be</w:t>
      </w:r>
      <w:r w:rsidR="00C54926">
        <w:t xml:space="preserve"> used on the sidelink. So, we propose, for dynamic grant, the resource used for conveying the </w:t>
      </w:r>
      <w:r w:rsidR="00BB4A44" w:rsidRPr="00A404D5">
        <w:t xml:space="preserve">sidelink </w:t>
      </w:r>
      <w:r w:rsidR="00C54926">
        <w:t xml:space="preserve">feedback from Rx UE to the Tx UE on the sidelink is scheduled by the scheduling DCI. </w:t>
      </w:r>
    </w:p>
    <w:p w14:paraId="52257DD0" w14:textId="54CD63FF" w:rsidR="00C54926" w:rsidRDefault="00C54926" w:rsidP="003B1D66">
      <w:pPr>
        <w:spacing w:after="0" w:line="360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3</w:t>
      </w:r>
      <w:r>
        <w:rPr>
          <w:b/>
          <w:i/>
          <w:lang w:eastAsia="zh-CN"/>
        </w:rPr>
        <w:t>. F</w:t>
      </w:r>
      <w:r w:rsidRPr="00C54926">
        <w:rPr>
          <w:b/>
          <w:i/>
          <w:lang w:eastAsia="zh-CN"/>
        </w:rPr>
        <w:t xml:space="preserve">or dynamic grant, the resource used for conveying the </w:t>
      </w:r>
      <w:r w:rsidR="00BB4A44" w:rsidRPr="00BB4A44">
        <w:rPr>
          <w:b/>
          <w:i/>
          <w:lang w:eastAsia="zh-CN"/>
        </w:rPr>
        <w:t xml:space="preserve">sidelink </w:t>
      </w:r>
      <w:r w:rsidRPr="00C54926">
        <w:rPr>
          <w:b/>
          <w:i/>
          <w:lang w:eastAsia="zh-CN"/>
        </w:rPr>
        <w:t>feedback from Rx UE to the Tx UE on the sidelink is scheduled by the scheduling DCI</w:t>
      </w:r>
      <w:r>
        <w:rPr>
          <w:b/>
          <w:i/>
        </w:rPr>
        <w:t>.</w:t>
      </w:r>
    </w:p>
    <w:p w14:paraId="259F17F5" w14:textId="77777777" w:rsidR="003B1D66" w:rsidRDefault="003B1D66" w:rsidP="003B1D66">
      <w:pPr>
        <w:spacing w:before="0"/>
        <w:rPr>
          <w:b/>
          <w:i/>
        </w:rPr>
      </w:pPr>
    </w:p>
    <w:p w14:paraId="33CE260F" w14:textId="3ACF8B19" w:rsidR="00C54926" w:rsidRDefault="00C54926" w:rsidP="003B1D66">
      <w:pPr>
        <w:spacing w:line="360" w:lineRule="auto"/>
      </w:pPr>
      <w:r>
        <w:t xml:space="preserve">Another </w:t>
      </w:r>
      <w:r w:rsidR="003B1D66">
        <w:t>information</w:t>
      </w:r>
      <w:r w:rsidR="00A803BE">
        <w:t xml:space="preserve"> related to the HARQ operation</w:t>
      </w:r>
      <w:r w:rsidR="003B1D66">
        <w:t xml:space="preserve"> </w:t>
      </w:r>
      <w:r w:rsidR="0076106D">
        <w:t xml:space="preserve">that </w:t>
      </w:r>
      <w:r w:rsidR="003B1D66">
        <w:t>need</w:t>
      </w:r>
      <w:r w:rsidR="0076106D">
        <w:t>s</w:t>
      </w:r>
      <w:r w:rsidR="003B1D66">
        <w:t xml:space="preserve"> to be signalled by the gNB</w:t>
      </w:r>
      <w:r w:rsidR="00882704">
        <w:t xml:space="preserve"> is the HARQ </w:t>
      </w:r>
      <w:r w:rsidR="00BE20A3">
        <w:t xml:space="preserve">process </w:t>
      </w:r>
      <w:r w:rsidR="00882704">
        <w:t xml:space="preserve">ID. </w:t>
      </w:r>
      <w:r w:rsidR="00A803BE">
        <w:t xml:space="preserve">In NR, gNB indicates the HARQ process ID in the scheduling DCI when it schedules a transmission on the Uu interface. </w:t>
      </w:r>
      <w:r w:rsidR="003B1D66">
        <w:t xml:space="preserve">In NR V2X mode 1, the HARQ </w:t>
      </w:r>
      <w:r w:rsidR="00BE20A3">
        <w:t xml:space="preserve">process </w:t>
      </w:r>
      <w:r w:rsidR="003B1D66">
        <w:t xml:space="preserve">ID for a sidelink transmission may be also provided </w:t>
      </w:r>
      <w:r w:rsidR="00BE20A3">
        <w:t xml:space="preserve">by </w:t>
      </w:r>
      <w:r w:rsidR="003B1D66">
        <w:t xml:space="preserve">the gNB to help the network have a better control of the sidelink transmissions. </w:t>
      </w:r>
    </w:p>
    <w:p w14:paraId="29BC2429" w14:textId="71340915" w:rsidR="003B1D66" w:rsidRDefault="003B1D66" w:rsidP="003B1D66">
      <w:pPr>
        <w:spacing w:after="0" w:line="360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4</w:t>
      </w:r>
      <w:r>
        <w:rPr>
          <w:b/>
          <w:i/>
          <w:lang w:eastAsia="zh-CN"/>
        </w:rPr>
        <w:t>. F</w:t>
      </w:r>
      <w:r w:rsidRPr="00C54926">
        <w:rPr>
          <w:b/>
          <w:i/>
          <w:lang w:eastAsia="zh-CN"/>
        </w:rPr>
        <w:t xml:space="preserve">or dynamic grant, </w:t>
      </w:r>
      <w:r>
        <w:rPr>
          <w:b/>
          <w:i/>
          <w:lang w:eastAsia="zh-CN"/>
        </w:rPr>
        <w:t>the HARQ</w:t>
      </w:r>
      <w:r w:rsidR="003162F8">
        <w:rPr>
          <w:b/>
          <w:i/>
          <w:lang w:eastAsia="zh-CN"/>
        </w:rPr>
        <w:t xml:space="preserve"> process</w:t>
      </w:r>
      <w:r>
        <w:rPr>
          <w:b/>
          <w:i/>
          <w:lang w:eastAsia="zh-CN"/>
        </w:rPr>
        <w:t xml:space="preserve"> ID of the sidelink transmission is indicated in </w:t>
      </w:r>
      <w:r w:rsidRPr="00C54926">
        <w:rPr>
          <w:b/>
          <w:i/>
          <w:lang w:eastAsia="zh-CN"/>
        </w:rPr>
        <w:t>the scheduling DCI</w:t>
      </w:r>
      <w:r w:rsidR="00F84170">
        <w:rPr>
          <w:b/>
          <w:i/>
          <w:lang w:eastAsia="zh-CN"/>
        </w:rPr>
        <w:t xml:space="preserve"> like the NR Uu interface</w:t>
      </w:r>
      <w:r>
        <w:rPr>
          <w:b/>
          <w:i/>
        </w:rPr>
        <w:t>.</w:t>
      </w:r>
    </w:p>
    <w:p w14:paraId="4BD0AB59" w14:textId="77777777" w:rsidR="003B1D66" w:rsidRDefault="003B1D66" w:rsidP="00C54926">
      <w:pPr>
        <w:rPr>
          <w:b/>
          <w:i/>
        </w:rPr>
      </w:pPr>
    </w:p>
    <w:p w14:paraId="037D466D" w14:textId="7EB6E588" w:rsidR="003B1D66" w:rsidRDefault="003B1D66" w:rsidP="003B1D66">
      <w:pPr>
        <w:pStyle w:val="Heading1"/>
      </w:pPr>
      <w:r>
        <w:t xml:space="preserve">Sidelink resource in a shared carrier  </w:t>
      </w:r>
    </w:p>
    <w:p w14:paraId="0010DE86" w14:textId="01915377" w:rsidR="00115088" w:rsidRDefault="00115088" w:rsidP="00115088">
      <w:pPr>
        <w:spacing w:line="360" w:lineRule="auto"/>
      </w:pPr>
      <w:r>
        <w:t xml:space="preserve">Another open issue that has not </w:t>
      </w:r>
      <w:r w:rsidR="00F84170">
        <w:t xml:space="preserve">yet </w:t>
      </w:r>
      <w:r>
        <w:t>been addressed</w:t>
      </w:r>
      <w:r w:rsidR="00A404D5">
        <w:t xml:space="preserve"> in mode 1</w:t>
      </w:r>
      <w:r>
        <w:t xml:space="preserve"> is which symbols </w:t>
      </w:r>
      <w:r w:rsidR="00D53CA3">
        <w:t xml:space="preserve">that </w:t>
      </w:r>
      <w:r>
        <w:t xml:space="preserve">can be used for </w:t>
      </w:r>
      <w:r w:rsidR="00A404D5" w:rsidRPr="00A404D5">
        <w:t xml:space="preserve">sidelink </w:t>
      </w:r>
      <w:r>
        <w:t xml:space="preserve">transmission </w:t>
      </w:r>
      <w:r w:rsidR="00AA0B63">
        <w:t>on</w:t>
      </w:r>
      <w:r>
        <w:t xml:space="preserve"> a shared carrier. In LTE V2X, uplink symbols can be used for </w:t>
      </w:r>
      <w:r w:rsidR="00A404D5" w:rsidRPr="00A404D5">
        <w:t xml:space="preserve">sidelink </w:t>
      </w:r>
      <w:r>
        <w:t xml:space="preserve">transmission. In NR, 3 symbol types have been specified: </w:t>
      </w:r>
      <w:r w:rsidR="00D62E18">
        <w:t xml:space="preserve">DL symbol, UL symbol and </w:t>
      </w:r>
      <w:r w:rsidR="00D945E5">
        <w:t>flexible</w:t>
      </w:r>
      <w:r w:rsidR="00D62E18">
        <w:t xml:space="preserve"> symbol. </w:t>
      </w:r>
      <w:r w:rsidR="00B3400E">
        <w:t xml:space="preserve">It would be straightforward </w:t>
      </w:r>
      <w:r w:rsidR="00AA0B63">
        <w:t xml:space="preserve">to agree that UL symbols can be used for </w:t>
      </w:r>
      <w:r w:rsidR="00A404D5" w:rsidRPr="00A404D5">
        <w:t xml:space="preserve">sidelink </w:t>
      </w:r>
      <w:r w:rsidR="00AA0B63">
        <w:t xml:space="preserve">transmission </w:t>
      </w:r>
      <w:r w:rsidR="00D945E5">
        <w:t>on</w:t>
      </w:r>
      <w:r w:rsidR="00AA0B63">
        <w:t xml:space="preserve"> a shared carrier</w:t>
      </w:r>
      <w:r w:rsidR="00D945E5">
        <w:t xml:space="preserve"> in NR. The </w:t>
      </w:r>
      <w:r w:rsidR="006200D4">
        <w:t>questionable</w:t>
      </w:r>
      <w:r w:rsidR="00D945E5">
        <w:t xml:space="preserve"> </w:t>
      </w:r>
      <w:r w:rsidR="00F84170">
        <w:t>one</w:t>
      </w:r>
      <w:r w:rsidR="00D945E5">
        <w:t xml:space="preserve"> is if </w:t>
      </w:r>
      <w:r w:rsidR="00EB1ACC">
        <w:t xml:space="preserve">also </w:t>
      </w:r>
      <w:r w:rsidR="00D945E5">
        <w:t>the flexible symbol can be used as well.</w:t>
      </w:r>
    </w:p>
    <w:p w14:paraId="5BC251C4" w14:textId="6CFC2504" w:rsidR="00D945E5" w:rsidRPr="006443B8" w:rsidRDefault="00D945E5" w:rsidP="00115088">
      <w:pPr>
        <w:spacing w:line="360" w:lineRule="auto"/>
        <w:rPr>
          <w:rFonts w:eastAsiaTheme="minorEastAsia"/>
          <w:lang w:eastAsia="zh-CN"/>
        </w:rPr>
      </w:pPr>
      <w:r>
        <w:t xml:space="preserve">In our view, in NR V2X mode 1, </w:t>
      </w:r>
      <w:r w:rsidR="006200D4">
        <w:t xml:space="preserve">as the Uu </w:t>
      </w:r>
      <w:r w:rsidR="006443B8">
        <w:t>transmission</w:t>
      </w:r>
      <w:r w:rsidR="006200D4">
        <w:t xml:space="preserve"> and the </w:t>
      </w:r>
      <w:r w:rsidR="00BB4A44" w:rsidRPr="00A404D5">
        <w:t xml:space="preserve">sidelink </w:t>
      </w:r>
      <w:r w:rsidR="006200D4">
        <w:t xml:space="preserve">transmission on the shared carrier are fully controlled by the gNB, only allowing the UL symbol to be used for </w:t>
      </w:r>
      <w:r w:rsidR="00BB4A44" w:rsidRPr="00A404D5">
        <w:t xml:space="preserve">sidelink </w:t>
      </w:r>
      <w:r w:rsidR="006200D4">
        <w:t>transmission may</w:t>
      </w:r>
      <w:r w:rsidR="006443B8">
        <w:t xml:space="preserve"> </w:t>
      </w:r>
      <w:r w:rsidR="006443B8">
        <w:rPr>
          <w:lang w:val="en-US"/>
        </w:rPr>
        <w:t>introduce unnecessary</w:t>
      </w:r>
      <w:r w:rsidR="006200D4">
        <w:t xml:space="preserve"> restrict</w:t>
      </w:r>
      <w:r w:rsidR="006443B8">
        <w:t>ion to</w:t>
      </w:r>
      <w:r w:rsidR="006200D4">
        <w:t xml:space="preserve"> </w:t>
      </w:r>
      <w:r w:rsidR="006443B8">
        <w:t>the system</w:t>
      </w:r>
      <w:r w:rsidR="003263C3">
        <w:t xml:space="preserve"> resource utilization</w:t>
      </w:r>
      <w:r w:rsidR="006200D4">
        <w:t>. Different from the LTE V2X us</w:t>
      </w:r>
      <w:r w:rsidR="006443B8">
        <w:t>e</w:t>
      </w:r>
      <w:r w:rsidR="006200D4">
        <w:t xml:space="preserve"> cases, </w:t>
      </w:r>
      <w:r w:rsidR="006443B8">
        <w:t xml:space="preserve">NR V2X </w:t>
      </w:r>
      <w:r w:rsidR="003263C3">
        <w:t>may</w:t>
      </w:r>
      <w:r w:rsidR="006443B8">
        <w:t xml:space="preserve"> support </w:t>
      </w:r>
      <w:r w:rsidR="00A61012">
        <w:t>more sporadic traffic</w:t>
      </w:r>
      <w:r w:rsidR="00AF08E7">
        <w:t xml:space="preserve"> which may</w:t>
      </w:r>
      <w:r w:rsidR="00A61012">
        <w:t xml:space="preserve"> hav</w:t>
      </w:r>
      <w:r w:rsidR="00AF08E7">
        <w:t>e</w:t>
      </w:r>
      <w:r w:rsidR="00A61012">
        <w:t xml:space="preserve"> </w:t>
      </w:r>
      <w:r w:rsidR="00AF08E7">
        <w:t>different</w:t>
      </w:r>
      <w:r w:rsidR="00A61012">
        <w:t xml:space="preserve"> payload size</w:t>
      </w:r>
      <w:r w:rsidR="00AF08E7">
        <w:t xml:space="preserve">s. To support this, more flexibility is needed in the scheduling. Therefore, we propose </w:t>
      </w:r>
      <w:r w:rsidR="00A76111">
        <w:t xml:space="preserve">that </w:t>
      </w:r>
      <w:r w:rsidR="00AF08E7">
        <w:t>both u</w:t>
      </w:r>
      <w:r w:rsidR="00AF08E7" w:rsidRPr="00AF08E7">
        <w:t>plink symbols and flexible symbols can be used for NR sidelink transmission in a shared carrier</w:t>
      </w:r>
      <w:r w:rsidR="00AF08E7">
        <w:t>.</w:t>
      </w:r>
    </w:p>
    <w:p w14:paraId="144A4789" w14:textId="7BDA6461" w:rsidR="00B3400E" w:rsidRDefault="00B3400E" w:rsidP="00B3400E">
      <w:pPr>
        <w:rPr>
          <w:b/>
          <w:i/>
        </w:rPr>
      </w:pPr>
      <w:bookmarkStart w:id="2" w:name="_Ref4943330"/>
      <w:r>
        <w:rPr>
          <w:b/>
          <w:i/>
        </w:rPr>
        <w:t xml:space="preserve">Proposal </w:t>
      </w:r>
      <w:r w:rsidR="00DF4CCD">
        <w:rPr>
          <w:b/>
          <w:i/>
        </w:rPr>
        <w:t>5</w:t>
      </w:r>
      <w:r>
        <w:rPr>
          <w:b/>
          <w:i/>
          <w:lang w:eastAsia="zh-CN"/>
        </w:rPr>
        <w:t xml:space="preserve">. Both </w:t>
      </w:r>
      <w:r w:rsidR="00AF08E7">
        <w:rPr>
          <w:b/>
          <w:i/>
        </w:rPr>
        <w:t>u</w:t>
      </w:r>
      <w:r>
        <w:rPr>
          <w:b/>
          <w:i/>
        </w:rPr>
        <w:t xml:space="preserve">plink symbols and flexible symbols can </w:t>
      </w:r>
      <w:r w:rsidRPr="000F3FEA">
        <w:rPr>
          <w:b/>
          <w:i/>
          <w:noProof/>
        </w:rPr>
        <w:t>be used</w:t>
      </w:r>
      <w:r>
        <w:rPr>
          <w:b/>
          <w:i/>
        </w:rPr>
        <w:t xml:space="preserve"> for NR sidelink transmission in a shared carrier.</w:t>
      </w:r>
      <w:bookmarkEnd w:id="2"/>
    </w:p>
    <w:p w14:paraId="763FB8B4" w14:textId="77777777" w:rsidR="00115088" w:rsidRPr="00115088" w:rsidRDefault="00115088" w:rsidP="00115088">
      <w:pPr>
        <w:spacing w:line="360" w:lineRule="auto"/>
      </w:pPr>
    </w:p>
    <w:p w14:paraId="5C10EE21" w14:textId="469BC2C7" w:rsidR="00065F7D" w:rsidRDefault="005D20F1" w:rsidP="000D6FAC">
      <w:pPr>
        <w:pStyle w:val="Heading1"/>
        <w:spacing w:before="0" w:after="120"/>
      </w:pPr>
      <w:r w:rsidRPr="000D37D3">
        <w:lastRenderedPageBreak/>
        <w:t>Conclusion</w:t>
      </w:r>
    </w:p>
    <w:p w14:paraId="3AF58D08" w14:textId="4DEB0B47" w:rsidR="00A650EE" w:rsidRDefault="00065F7D" w:rsidP="00E45705">
      <w:pPr>
        <w:spacing w:line="360" w:lineRule="auto"/>
        <w:jc w:val="left"/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E45705" w:rsidRPr="00C81CBF">
        <w:rPr>
          <w:lang w:eastAsia="zh-CN"/>
        </w:rPr>
        <w:t>we discuss</w:t>
      </w:r>
      <w:r w:rsidR="00E45705">
        <w:rPr>
          <w:lang w:eastAsia="zh-CN"/>
        </w:rPr>
        <w:t xml:space="preserve"> the details on</w:t>
      </w:r>
      <w:r w:rsidR="00E45705" w:rsidRPr="00C81CBF">
        <w:rPr>
          <w:lang w:eastAsia="zh-CN"/>
        </w:rPr>
        <w:t xml:space="preserve"> </w:t>
      </w:r>
      <w:r w:rsidR="00E45705">
        <w:rPr>
          <w:lang w:eastAsia="zh-CN"/>
        </w:rPr>
        <w:t>r</w:t>
      </w:r>
      <w:r w:rsidR="00E45705" w:rsidRPr="00CD1300">
        <w:rPr>
          <w:lang w:eastAsia="zh-CN"/>
        </w:rPr>
        <w:t xml:space="preserve">esource </w:t>
      </w:r>
      <w:r w:rsidR="00E45705">
        <w:rPr>
          <w:lang w:eastAsia="zh-CN"/>
        </w:rPr>
        <w:t>a</w:t>
      </w:r>
      <w:r w:rsidR="00E45705" w:rsidRPr="00CD1300">
        <w:rPr>
          <w:lang w:eastAsia="zh-CN"/>
        </w:rPr>
        <w:t xml:space="preserve">llocation for NR V2X </w:t>
      </w:r>
      <w:r w:rsidR="00E45705">
        <w:rPr>
          <w:lang w:eastAsia="zh-CN"/>
        </w:rPr>
        <w:t>m</w:t>
      </w:r>
      <w:r w:rsidR="00E45705" w:rsidRPr="00CD1300">
        <w:rPr>
          <w:lang w:eastAsia="zh-CN"/>
        </w:rPr>
        <w:t>ode 1</w:t>
      </w:r>
      <w:r w:rsidR="00CC26B7">
        <w:rPr>
          <w:rFonts w:eastAsia="Batang"/>
          <w:lang w:val="en-US" w:eastAsia="ko-KR"/>
        </w:rPr>
        <w:t xml:space="preserve">. The following </w:t>
      </w:r>
      <w:r w:rsidR="005E1ABD">
        <w:rPr>
          <w:rFonts w:eastAsia="Batang"/>
          <w:lang w:val="en-US" w:eastAsia="ko-KR"/>
        </w:rPr>
        <w:t xml:space="preserve">observations and </w:t>
      </w:r>
      <w:r w:rsidR="00CC26B7">
        <w:rPr>
          <w:rFonts w:eastAsia="Batang"/>
          <w:lang w:val="en-US" w:eastAsia="ko-KR"/>
        </w:rPr>
        <w:t>proposals were made.</w:t>
      </w:r>
    </w:p>
    <w:p w14:paraId="6995A581" w14:textId="77777777" w:rsidR="00DF4CCD" w:rsidRDefault="00DF4CCD" w:rsidP="00DF4CCD">
      <w:pPr>
        <w:spacing w:after="240" w:line="276" w:lineRule="auto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3EDE4A4C" w14:textId="77777777" w:rsidR="00DF4CCD" w:rsidRDefault="00DF4CCD" w:rsidP="00DF4CCD">
      <w:pPr>
        <w:spacing w:after="240" w:line="276" w:lineRule="auto"/>
        <w:rPr>
          <w:b/>
          <w:i/>
        </w:rPr>
      </w:pPr>
      <w:r>
        <w:rPr>
          <w:b/>
          <w:i/>
        </w:rPr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</w:t>
      </w:r>
      <w:r w:rsidRPr="00C54926">
        <w:rPr>
          <w:b/>
          <w:i/>
          <w:lang w:eastAsia="zh-CN"/>
        </w:rPr>
        <w:t>or dynamic grant</w:t>
      </w:r>
      <w:r>
        <w:rPr>
          <w:b/>
          <w:i/>
          <w:lang w:eastAsia="zh-CN"/>
        </w:rPr>
        <w:t xml:space="preserve">, gNB sends an indication in DCI for the UEs to </w:t>
      </w:r>
      <w:r w:rsidRPr="00DF4CCD">
        <w:rPr>
          <w:b/>
          <w:i/>
          <w:lang w:eastAsia="zh-CN"/>
        </w:rPr>
        <w:t>differentiate</w:t>
      </w:r>
      <w:r>
        <w:rPr>
          <w:b/>
          <w:i/>
          <w:lang w:eastAsia="zh-CN"/>
        </w:rPr>
        <w:t xml:space="preserve"> the </w:t>
      </w:r>
      <w:r w:rsidRPr="00DF4CCD">
        <w:rPr>
          <w:b/>
          <w:i/>
          <w:lang w:eastAsia="zh-CN"/>
        </w:rPr>
        <w:t xml:space="preserve">cast types, </w:t>
      </w:r>
      <w:r>
        <w:rPr>
          <w:b/>
          <w:i/>
          <w:lang w:eastAsia="zh-CN"/>
        </w:rPr>
        <w:t xml:space="preserve">e.g., </w:t>
      </w:r>
      <w:r w:rsidRPr="00DF4CCD">
        <w:rPr>
          <w:b/>
          <w:i/>
          <w:lang w:eastAsia="zh-CN"/>
        </w:rPr>
        <w:t>broadcast, groupcast or unicast</w:t>
      </w:r>
      <w:r>
        <w:rPr>
          <w:b/>
          <w:i/>
        </w:rPr>
        <w:t>.</w:t>
      </w:r>
    </w:p>
    <w:p w14:paraId="1F0C2293" w14:textId="62160AA3" w:rsidR="00C54926" w:rsidRDefault="00C54926" w:rsidP="00DF4CCD">
      <w:pPr>
        <w:spacing w:after="240" w:line="276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3</w:t>
      </w:r>
      <w:r>
        <w:rPr>
          <w:b/>
          <w:i/>
          <w:lang w:eastAsia="zh-CN"/>
        </w:rPr>
        <w:t>. F</w:t>
      </w:r>
      <w:r w:rsidRPr="00C54926">
        <w:rPr>
          <w:b/>
          <w:i/>
          <w:lang w:eastAsia="zh-CN"/>
        </w:rPr>
        <w:t xml:space="preserve">or dynamic grant, the resource used for conveying the </w:t>
      </w:r>
      <w:r w:rsidR="00BB4A44" w:rsidRPr="00BB4A44">
        <w:rPr>
          <w:b/>
          <w:i/>
          <w:lang w:eastAsia="zh-CN"/>
        </w:rPr>
        <w:t xml:space="preserve">sidelink </w:t>
      </w:r>
      <w:r w:rsidRPr="00C54926">
        <w:rPr>
          <w:b/>
          <w:i/>
          <w:lang w:eastAsia="zh-CN"/>
        </w:rPr>
        <w:t>feedback from Rx UE to the Tx UE on the sidelink is scheduled by the scheduling DCI</w:t>
      </w:r>
      <w:r>
        <w:rPr>
          <w:b/>
          <w:i/>
        </w:rPr>
        <w:t>.</w:t>
      </w:r>
    </w:p>
    <w:p w14:paraId="76D2FFF2" w14:textId="208BCDC4" w:rsidR="003B1D66" w:rsidRDefault="003B1D66" w:rsidP="00DF4CCD">
      <w:pPr>
        <w:spacing w:after="240" w:line="276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4</w:t>
      </w:r>
      <w:r>
        <w:rPr>
          <w:b/>
          <w:i/>
          <w:lang w:eastAsia="zh-CN"/>
        </w:rPr>
        <w:t>. F</w:t>
      </w:r>
      <w:r w:rsidRPr="00C54926">
        <w:rPr>
          <w:b/>
          <w:i/>
          <w:lang w:eastAsia="zh-CN"/>
        </w:rPr>
        <w:t xml:space="preserve">or dynamic grant, </w:t>
      </w:r>
      <w:r>
        <w:rPr>
          <w:b/>
          <w:i/>
          <w:lang w:eastAsia="zh-CN"/>
        </w:rPr>
        <w:t>the HARQ</w:t>
      </w:r>
      <w:r w:rsidR="003D074C">
        <w:rPr>
          <w:b/>
          <w:i/>
          <w:lang w:eastAsia="zh-CN"/>
        </w:rPr>
        <w:t xml:space="preserve"> process</w:t>
      </w:r>
      <w:r>
        <w:rPr>
          <w:b/>
          <w:i/>
          <w:lang w:eastAsia="zh-CN"/>
        </w:rPr>
        <w:t xml:space="preserve"> ID of the sidelink transmission is indicated in </w:t>
      </w:r>
      <w:r w:rsidRPr="00C54926">
        <w:rPr>
          <w:b/>
          <w:i/>
          <w:lang w:eastAsia="zh-CN"/>
        </w:rPr>
        <w:t>the scheduling DCI</w:t>
      </w:r>
      <w:r w:rsidR="009B5287" w:rsidRPr="009B5287">
        <w:rPr>
          <w:b/>
          <w:i/>
          <w:lang w:eastAsia="zh-CN"/>
        </w:rPr>
        <w:t xml:space="preserve"> </w:t>
      </w:r>
      <w:r w:rsidR="009B5287">
        <w:rPr>
          <w:b/>
          <w:i/>
          <w:lang w:eastAsia="zh-CN"/>
        </w:rPr>
        <w:t>like the NR Uu interface</w:t>
      </w:r>
      <w:r>
        <w:rPr>
          <w:b/>
          <w:i/>
        </w:rPr>
        <w:t>.</w:t>
      </w:r>
    </w:p>
    <w:p w14:paraId="73B8274B" w14:textId="18005D80" w:rsidR="00E45705" w:rsidRDefault="00E45705" w:rsidP="00DF4CCD">
      <w:pPr>
        <w:spacing w:after="240" w:line="276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5</w:t>
      </w:r>
      <w:r>
        <w:rPr>
          <w:b/>
          <w:i/>
          <w:lang w:eastAsia="zh-CN"/>
        </w:rPr>
        <w:t xml:space="preserve">. Both </w:t>
      </w:r>
      <w:r>
        <w:rPr>
          <w:b/>
          <w:i/>
        </w:rPr>
        <w:t xml:space="preserve">Uplink symbols and flexible symbols can </w:t>
      </w:r>
      <w:r w:rsidRPr="000F3FEA">
        <w:rPr>
          <w:b/>
          <w:i/>
          <w:noProof/>
        </w:rPr>
        <w:t>be used</w:t>
      </w:r>
      <w:r>
        <w:rPr>
          <w:b/>
          <w:i/>
        </w:rPr>
        <w:t xml:space="preserve"> for NR sidelink transmission in a shared carrier.</w:t>
      </w:r>
    </w:p>
    <w:p w14:paraId="35EFC174" w14:textId="45541869" w:rsidR="005A2A8E" w:rsidRPr="00E45705" w:rsidRDefault="005A2A8E" w:rsidP="00E45705">
      <w:pPr>
        <w:pStyle w:val="ListParagraph"/>
        <w:spacing w:before="0" w:line="240" w:lineRule="auto"/>
        <w:ind w:left="720" w:firstLine="0"/>
        <w:rPr>
          <w:b/>
          <w:i/>
          <w:szCs w:val="22"/>
          <w:lang w:val="en-GB"/>
        </w:rPr>
      </w:pPr>
    </w:p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331E237B" w14:textId="389AC793" w:rsidR="00E92FE7" w:rsidRDefault="00E92FE7" w:rsidP="00E92FE7">
      <w:pPr>
        <w:pStyle w:val="iReference"/>
        <w:numPr>
          <w:ilvl w:val="0"/>
          <w:numId w:val="17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>Chairman Notes, RAN</w:t>
      </w:r>
      <w:r w:rsidR="003263C3">
        <w:rPr>
          <w:rFonts w:ascii="Times New Roman" w:eastAsia="PMingLiU" w:hAnsi="Times New Roman" w:cs="Times New Roman"/>
          <w:color w:val="000000" w:themeColor="text1"/>
          <w:sz w:val="20"/>
        </w:rPr>
        <w:t>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 #98, Prague, CZ, August 2019.</w:t>
      </w:r>
    </w:p>
    <w:p w14:paraId="571DCDCB" w14:textId="6DF2ADC7" w:rsidR="00467491" w:rsidRDefault="00467491" w:rsidP="007B10FF">
      <w:pPr>
        <w:pStyle w:val="iReference"/>
        <w:numPr>
          <w:ilvl w:val="0"/>
          <w:numId w:val="0"/>
        </w:numPr>
        <w:spacing w:before="0" w:after="120"/>
        <w:ind w:left="360"/>
        <w:rPr>
          <w:rFonts w:ascii="Times New Roman" w:eastAsia="PMingLiU" w:hAnsi="Times New Roman" w:cs="Times New Roman"/>
          <w:color w:val="000000" w:themeColor="text1"/>
          <w:sz w:val="20"/>
        </w:rPr>
      </w:pPr>
    </w:p>
    <w:p w14:paraId="4F98776C" w14:textId="2C28BADC" w:rsidR="00D64C83" w:rsidRPr="00467491" w:rsidRDefault="00D64C83" w:rsidP="0081071B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4"/>
        </w:rPr>
      </w:pPr>
    </w:p>
    <w:sectPr w:rsidR="00D64C83" w:rsidRPr="004674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4B733" w14:textId="77777777" w:rsidR="00E12672" w:rsidRDefault="00E12672">
      <w:r>
        <w:separator/>
      </w:r>
    </w:p>
  </w:endnote>
  <w:endnote w:type="continuationSeparator" w:id="0">
    <w:p w14:paraId="521FEF11" w14:textId="77777777" w:rsidR="00E12672" w:rsidRDefault="00E1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4F6C3" w14:textId="77777777" w:rsidR="00E12672" w:rsidRDefault="00E12672">
      <w:r>
        <w:separator/>
      </w:r>
    </w:p>
  </w:footnote>
  <w:footnote w:type="continuationSeparator" w:id="0">
    <w:p w14:paraId="6731ECE1" w14:textId="77777777" w:rsidR="00E12672" w:rsidRDefault="00E12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C55EA5"/>
    <w:multiLevelType w:val="hybridMultilevel"/>
    <w:tmpl w:val="42CE4B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937978"/>
    <w:multiLevelType w:val="hybridMultilevel"/>
    <w:tmpl w:val="8D34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2" w15:restartNumberingAfterBreak="0">
    <w:nsid w:val="29D462E3"/>
    <w:multiLevelType w:val="hybridMultilevel"/>
    <w:tmpl w:val="64B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12FB5"/>
    <w:multiLevelType w:val="hybridMultilevel"/>
    <w:tmpl w:val="7FDA7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F19A8"/>
    <w:multiLevelType w:val="hybridMultilevel"/>
    <w:tmpl w:val="0F6C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915CE7"/>
    <w:multiLevelType w:val="hybridMultilevel"/>
    <w:tmpl w:val="909647CA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7569B"/>
    <w:multiLevelType w:val="hybridMultilevel"/>
    <w:tmpl w:val="5F7E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F300F"/>
    <w:multiLevelType w:val="hybridMultilevel"/>
    <w:tmpl w:val="F21C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8639F3"/>
    <w:multiLevelType w:val="hybridMultilevel"/>
    <w:tmpl w:val="3C365FBE"/>
    <w:lvl w:ilvl="0" w:tplc="5CA213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8" w15:restartNumberingAfterBreak="0">
    <w:nsid w:val="711A4E14"/>
    <w:multiLevelType w:val="hybridMultilevel"/>
    <w:tmpl w:val="43F4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1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0316B"/>
    <w:multiLevelType w:val="hybridMultilevel"/>
    <w:tmpl w:val="37983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27"/>
  </w:num>
  <w:num w:numId="3">
    <w:abstractNumId w:val="20"/>
  </w:num>
  <w:num w:numId="4">
    <w:abstractNumId w:val="6"/>
  </w:num>
  <w:num w:numId="5">
    <w:abstractNumId w:val="2"/>
  </w:num>
  <w:num w:numId="6">
    <w:abstractNumId w:val="37"/>
  </w:num>
  <w:num w:numId="7">
    <w:abstractNumId w:val="43"/>
  </w:num>
  <w:num w:numId="8">
    <w:abstractNumId w:val="15"/>
  </w:num>
  <w:num w:numId="9">
    <w:abstractNumId w:val="3"/>
  </w:num>
  <w:num w:numId="10">
    <w:abstractNumId w:val="23"/>
  </w:num>
  <w:num w:numId="11">
    <w:abstractNumId w:val="21"/>
  </w:num>
  <w:num w:numId="12">
    <w:abstractNumId w:val="22"/>
  </w:num>
  <w:num w:numId="13">
    <w:abstractNumId w:val="26"/>
  </w:num>
  <w:num w:numId="14">
    <w:abstractNumId w:val="32"/>
  </w:num>
  <w:num w:numId="15">
    <w:abstractNumId w:val="0"/>
  </w:num>
  <w:num w:numId="16">
    <w:abstractNumId w:val="31"/>
  </w:num>
  <w:num w:numId="17">
    <w:abstractNumId w:val="1"/>
  </w:num>
  <w:num w:numId="18">
    <w:abstractNumId w:val="5"/>
  </w:num>
  <w:num w:numId="19">
    <w:abstractNumId w:val="40"/>
  </w:num>
  <w:num w:numId="20">
    <w:abstractNumId w:val="33"/>
  </w:num>
  <w:num w:numId="21">
    <w:abstractNumId w:val="8"/>
  </w:num>
  <w:num w:numId="22">
    <w:abstractNumId w:val="11"/>
  </w:num>
  <w:num w:numId="23">
    <w:abstractNumId w:val="18"/>
  </w:num>
  <w:num w:numId="24">
    <w:abstractNumId w:val="28"/>
  </w:num>
  <w:num w:numId="25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/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"/>
  </w:num>
  <w:num w:numId="29">
    <w:abstractNumId w:val="4"/>
    <w:lvlOverride w:ilvl="0">
      <w:startOverride w:val="1"/>
    </w:lvlOverride>
  </w:num>
  <w:num w:numId="30">
    <w:abstractNumId w:val="38"/>
  </w:num>
  <w:num w:numId="31">
    <w:abstractNumId w:val="14"/>
  </w:num>
  <w:num w:numId="32">
    <w:abstractNumId w:val="7"/>
  </w:num>
  <w:num w:numId="33">
    <w:abstractNumId w:val="17"/>
  </w:num>
  <w:num w:numId="34">
    <w:abstractNumId w:val="29"/>
  </w:num>
  <w:num w:numId="35">
    <w:abstractNumId w:val="10"/>
  </w:num>
  <w:num w:numId="36">
    <w:abstractNumId w:val="9"/>
  </w:num>
  <w:num w:numId="37">
    <w:abstractNumId w:val="25"/>
  </w:num>
  <w:num w:numId="38">
    <w:abstractNumId w:val="13"/>
  </w:num>
  <w:num w:numId="39">
    <w:abstractNumId w:val="30"/>
  </w:num>
  <w:num w:numId="40">
    <w:abstractNumId w:val="41"/>
  </w:num>
  <w:num w:numId="41">
    <w:abstractNumId w:val="12"/>
  </w:num>
  <w:num w:numId="42">
    <w:abstractNumId w:val="42"/>
  </w:num>
  <w:num w:numId="43">
    <w:abstractNumId w:val="16"/>
  </w:num>
  <w:num w:numId="44">
    <w:abstractNumId w:val="39"/>
  </w:num>
  <w:num w:numId="4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22E5D"/>
    <w:rsid w:val="00024B1D"/>
    <w:rsid w:val="00025F13"/>
    <w:rsid w:val="0002640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6095E"/>
    <w:rsid w:val="00060EA9"/>
    <w:rsid w:val="00061116"/>
    <w:rsid w:val="00062DF5"/>
    <w:rsid w:val="00065F7D"/>
    <w:rsid w:val="000674FE"/>
    <w:rsid w:val="00073F85"/>
    <w:rsid w:val="00077788"/>
    <w:rsid w:val="00077A26"/>
    <w:rsid w:val="0008236D"/>
    <w:rsid w:val="00083978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6FAC"/>
    <w:rsid w:val="000F1176"/>
    <w:rsid w:val="000F2AFF"/>
    <w:rsid w:val="000F421F"/>
    <w:rsid w:val="001052F3"/>
    <w:rsid w:val="00111482"/>
    <w:rsid w:val="00115088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5BE4"/>
    <w:rsid w:val="001B03EA"/>
    <w:rsid w:val="001B2C52"/>
    <w:rsid w:val="001B3AF1"/>
    <w:rsid w:val="001C225C"/>
    <w:rsid w:val="001E18D6"/>
    <w:rsid w:val="001E3155"/>
    <w:rsid w:val="001E3B88"/>
    <w:rsid w:val="001E5393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6C98"/>
    <w:rsid w:val="00267C3C"/>
    <w:rsid w:val="00282603"/>
    <w:rsid w:val="002A4DB3"/>
    <w:rsid w:val="002A56D3"/>
    <w:rsid w:val="002A62EA"/>
    <w:rsid w:val="002A7310"/>
    <w:rsid w:val="002B22E3"/>
    <w:rsid w:val="002B3C03"/>
    <w:rsid w:val="002B4F54"/>
    <w:rsid w:val="002B5C4F"/>
    <w:rsid w:val="002B728D"/>
    <w:rsid w:val="002D0FA4"/>
    <w:rsid w:val="002D2246"/>
    <w:rsid w:val="002D32BE"/>
    <w:rsid w:val="002D40BC"/>
    <w:rsid w:val="002D49E1"/>
    <w:rsid w:val="002E166E"/>
    <w:rsid w:val="002F2971"/>
    <w:rsid w:val="002F4A9B"/>
    <w:rsid w:val="002F71FE"/>
    <w:rsid w:val="00300E4B"/>
    <w:rsid w:val="00311110"/>
    <w:rsid w:val="003118DA"/>
    <w:rsid w:val="00315276"/>
    <w:rsid w:val="0031577A"/>
    <w:rsid w:val="003162F8"/>
    <w:rsid w:val="00317EC9"/>
    <w:rsid w:val="003201E7"/>
    <w:rsid w:val="00322338"/>
    <w:rsid w:val="00323072"/>
    <w:rsid w:val="0032366B"/>
    <w:rsid w:val="003252F1"/>
    <w:rsid w:val="003263C3"/>
    <w:rsid w:val="00327B5B"/>
    <w:rsid w:val="00335638"/>
    <w:rsid w:val="00342A22"/>
    <w:rsid w:val="003452BE"/>
    <w:rsid w:val="0034698C"/>
    <w:rsid w:val="00350B4E"/>
    <w:rsid w:val="00352982"/>
    <w:rsid w:val="003567E2"/>
    <w:rsid w:val="003602F1"/>
    <w:rsid w:val="00365288"/>
    <w:rsid w:val="003673C1"/>
    <w:rsid w:val="00372E07"/>
    <w:rsid w:val="0037504A"/>
    <w:rsid w:val="00377439"/>
    <w:rsid w:val="00386636"/>
    <w:rsid w:val="003A0958"/>
    <w:rsid w:val="003A675E"/>
    <w:rsid w:val="003B1D66"/>
    <w:rsid w:val="003B45F3"/>
    <w:rsid w:val="003B58AC"/>
    <w:rsid w:val="003B7FEE"/>
    <w:rsid w:val="003C2E9F"/>
    <w:rsid w:val="003C53E5"/>
    <w:rsid w:val="003C6CD9"/>
    <w:rsid w:val="003D074C"/>
    <w:rsid w:val="003D5B78"/>
    <w:rsid w:val="003D77C4"/>
    <w:rsid w:val="003E1C7C"/>
    <w:rsid w:val="003E2ECE"/>
    <w:rsid w:val="003E3C09"/>
    <w:rsid w:val="003E54D6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417C6"/>
    <w:rsid w:val="004453C1"/>
    <w:rsid w:val="00446ACE"/>
    <w:rsid w:val="00447234"/>
    <w:rsid w:val="00447DE7"/>
    <w:rsid w:val="004607C3"/>
    <w:rsid w:val="00461C38"/>
    <w:rsid w:val="00463A51"/>
    <w:rsid w:val="00464453"/>
    <w:rsid w:val="00466DEE"/>
    <w:rsid w:val="00467491"/>
    <w:rsid w:val="004778AF"/>
    <w:rsid w:val="00483A74"/>
    <w:rsid w:val="00485C27"/>
    <w:rsid w:val="00491E32"/>
    <w:rsid w:val="00495125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257E"/>
    <w:rsid w:val="004E2EEE"/>
    <w:rsid w:val="004E5D0A"/>
    <w:rsid w:val="004F0320"/>
    <w:rsid w:val="005072FC"/>
    <w:rsid w:val="005079EB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293B"/>
    <w:rsid w:val="005658B2"/>
    <w:rsid w:val="00566B53"/>
    <w:rsid w:val="00582BAC"/>
    <w:rsid w:val="00591A33"/>
    <w:rsid w:val="0059341F"/>
    <w:rsid w:val="00593D73"/>
    <w:rsid w:val="005977B0"/>
    <w:rsid w:val="005A05BE"/>
    <w:rsid w:val="005A1A03"/>
    <w:rsid w:val="005A2572"/>
    <w:rsid w:val="005A2685"/>
    <w:rsid w:val="005A2A8E"/>
    <w:rsid w:val="005A32C2"/>
    <w:rsid w:val="005B2076"/>
    <w:rsid w:val="005B4701"/>
    <w:rsid w:val="005B601E"/>
    <w:rsid w:val="005B7C1C"/>
    <w:rsid w:val="005C0F6F"/>
    <w:rsid w:val="005C3384"/>
    <w:rsid w:val="005C3D8D"/>
    <w:rsid w:val="005D09B1"/>
    <w:rsid w:val="005D20F1"/>
    <w:rsid w:val="005D2D51"/>
    <w:rsid w:val="005D3981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14F59"/>
    <w:rsid w:val="006200D4"/>
    <w:rsid w:val="006204C2"/>
    <w:rsid w:val="00620E89"/>
    <w:rsid w:val="0062449A"/>
    <w:rsid w:val="00630F3A"/>
    <w:rsid w:val="00634154"/>
    <w:rsid w:val="00641A9E"/>
    <w:rsid w:val="0064318F"/>
    <w:rsid w:val="006443B8"/>
    <w:rsid w:val="00645A3D"/>
    <w:rsid w:val="0064615E"/>
    <w:rsid w:val="00652082"/>
    <w:rsid w:val="006535EC"/>
    <w:rsid w:val="00654A39"/>
    <w:rsid w:val="00657BE5"/>
    <w:rsid w:val="006616F6"/>
    <w:rsid w:val="00664455"/>
    <w:rsid w:val="00665941"/>
    <w:rsid w:val="006733DB"/>
    <w:rsid w:val="00675062"/>
    <w:rsid w:val="006758DE"/>
    <w:rsid w:val="00677A39"/>
    <w:rsid w:val="00682F72"/>
    <w:rsid w:val="00687F23"/>
    <w:rsid w:val="0069390B"/>
    <w:rsid w:val="00695505"/>
    <w:rsid w:val="006966E3"/>
    <w:rsid w:val="006A192B"/>
    <w:rsid w:val="006A7DD0"/>
    <w:rsid w:val="006B1113"/>
    <w:rsid w:val="006B1946"/>
    <w:rsid w:val="006B2C44"/>
    <w:rsid w:val="006B6D77"/>
    <w:rsid w:val="006E01B4"/>
    <w:rsid w:val="006E4459"/>
    <w:rsid w:val="006E5968"/>
    <w:rsid w:val="006E5DD2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6106D"/>
    <w:rsid w:val="00770BA8"/>
    <w:rsid w:val="007816A0"/>
    <w:rsid w:val="007822D8"/>
    <w:rsid w:val="00790C82"/>
    <w:rsid w:val="0079200B"/>
    <w:rsid w:val="00793E15"/>
    <w:rsid w:val="00794234"/>
    <w:rsid w:val="00795985"/>
    <w:rsid w:val="0079648D"/>
    <w:rsid w:val="007A11D7"/>
    <w:rsid w:val="007A3330"/>
    <w:rsid w:val="007A71C0"/>
    <w:rsid w:val="007B06D3"/>
    <w:rsid w:val="007B10FF"/>
    <w:rsid w:val="007B2090"/>
    <w:rsid w:val="007B5072"/>
    <w:rsid w:val="007C345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82704"/>
    <w:rsid w:val="0089044B"/>
    <w:rsid w:val="008911D1"/>
    <w:rsid w:val="008917F5"/>
    <w:rsid w:val="0089215D"/>
    <w:rsid w:val="00893E68"/>
    <w:rsid w:val="008A7500"/>
    <w:rsid w:val="008A7A18"/>
    <w:rsid w:val="008B2885"/>
    <w:rsid w:val="008C27D4"/>
    <w:rsid w:val="008E4BDE"/>
    <w:rsid w:val="00904CBF"/>
    <w:rsid w:val="009072FB"/>
    <w:rsid w:val="00914FD3"/>
    <w:rsid w:val="00927EE8"/>
    <w:rsid w:val="00932371"/>
    <w:rsid w:val="009404A5"/>
    <w:rsid w:val="00940ED3"/>
    <w:rsid w:val="00946429"/>
    <w:rsid w:val="00953495"/>
    <w:rsid w:val="0095582D"/>
    <w:rsid w:val="009671DC"/>
    <w:rsid w:val="00970ADB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5287"/>
    <w:rsid w:val="009B75D2"/>
    <w:rsid w:val="009C3031"/>
    <w:rsid w:val="009C5D61"/>
    <w:rsid w:val="009C6E6E"/>
    <w:rsid w:val="009D5348"/>
    <w:rsid w:val="009D7B86"/>
    <w:rsid w:val="009E1249"/>
    <w:rsid w:val="00A00857"/>
    <w:rsid w:val="00A07508"/>
    <w:rsid w:val="00A1110C"/>
    <w:rsid w:val="00A2299C"/>
    <w:rsid w:val="00A23578"/>
    <w:rsid w:val="00A23793"/>
    <w:rsid w:val="00A31B85"/>
    <w:rsid w:val="00A3212F"/>
    <w:rsid w:val="00A33D88"/>
    <w:rsid w:val="00A361F7"/>
    <w:rsid w:val="00A404D5"/>
    <w:rsid w:val="00A4122B"/>
    <w:rsid w:val="00A43392"/>
    <w:rsid w:val="00A44733"/>
    <w:rsid w:val="00A45A88"/>
    <w:rsid w:val="00A55592"/>
    <w:rsid w:val="00A574EC"/>
    <w:rsid w:val="00A57ACE"/>
    <w:rsid w:val="00A61012"/>
    <w:rsid w:val="00A650EE"/>
    <w:rsid w:val="00A67031"/>
    <w:rsid w:val="00A76111"/>
    <w:rsid w:val="00A77147"/>
    <w:rsid w:val="00A803BE"/>
    <w:rsid w:val="00A83382"/>
    <w:rsid w:val="00A85A4A"/>
    <w:rsid w:val="00A91310"/>
    <w:rsid w:val="00A921DF"/>
    <w:rsid w:val="00A92725"/>
    <w:rsid w:val="00A96440"/>
    <w:rsid w:val="00A97DE8"/>
    <w:rsid w:val="00AA0B63"/>
    <w:rsid w:val="00AA293A"/>
    <w:rsid w:val="00AA39C3"/>
    <w:rsid w:val="00AB36E6"/>
    <w:rsid w:val="00AB4813"/>
    <w:rsid w:val="00AB6B86"/>
    <w:rsid w:val="00AC45F7"/>
    <w:rsid w:val="00AE0C3F"/>
    <w:rsid w:val="00AE1547"/>
    <w:rsid w:val="00AE4A3B"/>
    <w:rsid w:val="00AF08E7"/>
    <w:rsid w:val="00AF101D"/>
    <w:rsid w:val="00B02FC9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3400E"/>
    <w:rsid w:val="00B41368"/>
    <w:rsid w:val="00B56608"/>
    <w:rsid w:val="00B5790C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A0E31"/>
    <w:rsid w:val="00BA11F7"/>
    <w:rsid w:val="00BA2E58"/>
    <w:rsid w:val="00BA4C37"/>
    <w:rsid w:val="00BA784D"/>
    <w:rsid w:val="00BB2590"/>
    <w:rsid w:val="00BB4A44"/>
    <w:rsid w:val="00BB5C0C"/>
    <w:rsid w:val="00BB5E8F"/>
    <w:rsid w:val="00BC1306"/>
    <w:rsid w:val="00BD5E42"/>
    <w:rsid w:val="00BE169E"/>
    <w:rsid w:val="00BE20A3"/>
    <w:rsid w:val="00BE27C3"/>
    <w:rsid w:val="00BE67A0"/>
    <w:rsid w:val="00BE6ABC"/>
    <w:rsid w:val="00BF00F3"/>
    <w:rsid w:val="00C00954"/>
    <w:rsid w:val="00C00997"/>
    <w:rsid w:val="00C01BD3"/>
    <w:rsid w:val="00C23138"/>
    <w:rsid w:val="00C26EA8"/>
    <w:rsid w:val="00C33A64"/>
    <w:rsid w:val="00C37233"/>
    <w:rsid w:val="00C43C21"/>
    <w:rsid w:val="00C47595"/>
    <w:rsid w:val="00C507CE"/>
    <w:rsid w:val="00C54926"/>
    <w:rsid w:val="00C5571A"/>
    <w:rsid w:val="00C6005C"/>
    <w:rsid w:val="00C7022E"/>
    <w:rsid w:val="00C70E00"/>
    <w:rsid w:val="00C71F3C"/>
    <w:rsid w:val="00C87740"/>
    <w:rsid w:val="00C94273"/>
    <w:rsid w:val="00CA2985"/>
    <w:rsid w:val="00CA320E"/>
    <w:rsid w:val="00CA4B53"/>
    <w:rsid w:val="00CA7D84"/>
    <w:rsid w:val="00CB1B6A"/>
    <w:rsid w:val="00CB32AF"/>
    <w:rsid w:val="00CC26B7"/>
    <w:rsid w:val="00CD1300"/>
    <w:rsid w:val="00CD2ADC"/>
    <w:rsid w:val="00CD3705"/>
    <w:rsid w:val="00CD7558"/>
    <w:rsid w:val="00CD77C0"/>
    <w:rsid w:val="00CE58D7"/>
    <w:rsid w:val="00CF4F30"/>
    <w:rsid w:val="00D0127D"/>
    <w:rsid w:val="00D03252"/>
    <w:rsid w:val="00D04C7A"/>
    <w:rsid w:val="00D06481"/>
    <w:rsid w:val="00D067A6"/>
    <w:rsid w:val="00D111C4"/>
    <w:rsid w:val="00D16954"/>
    <w:rsid w:val="00D16F81"/>
    <w:rsid w:val="00D20405"/>
    <w:rsid w:val="00D224B7"/>
    <w:rsid w:val="00D23D86"/>
    <w:rsid w:val="00D26F3E"/>
    <w:rsid w:val="00D303B9"/>
    <w:rsid w:val="00D303E5"/>
    <w:rsid w:val="00D42774"/>
    <w:rsid w:val="00D448BD"/>
    <w:rsid w:val="00D53CA3"/>
    <w:rsid w:val="00D54E7D"/>
    <w:rsid w:val="00D62E18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87EC1"/>
    <w:rsid w:val="00D90ABB"/>
    <w:rsid w:val="00D91E14"/>
    <w:rsid w:val="00D92C9C"/>
    <w:rsid w:val="00D93BDE"/>
    <w:rsid w:val="00D94330"/>
    <w:rsid w:val="00D945E5"/>
    <w:rsid w:val="00D975CC"/>
    <w:rsid w:val="00DA1039"/>
    <w:rsid w:val="00DA21AE"/>
    <w:rsid w:val="00DA3170"/>
    <w:rsid w:val="00DA75A3"/>
    <w:rsid w:val="00DC274E"/>
    <w:rsid w:val="00DC4922"/>
    <w:rsid w:val="00DC77CA"/>
    <w:rsid w:val="00DD63B9"/>
    <w:rsid w:val="00DE1688"/>
    <w:rsid w:val="00DE1E71"/>
    <w:rsid w:val="00DF0255"/>
    <w:rsid w:val="00DF4CCD"/>
    <w:rsid w:val="00E027E3"/>
    <w:rsid w:val="00E02F45"/>
    <w:rsid w:val="00E03839"/>
    <w:rsid w:val="00E0498C"/>
    <w:rsid w:val="00E06E33"/>
    <w:rsid w:val="00E109B4"/>
    <w:rsid w:val="00E124A6"/>
    <w:rsid w:val="00E12672"/>
    <w:rsid w:val="00E144CB"/>
    <w:rsid w:val="00E148CB"/>
    <w:rsid w:val="00E200E0"/>
    <w:rsid w:val="00E2039C"/>
    <w:rsid w:val="00E2199A"/>
    <w:rsid w:val="00E24AD0"/>
    <w:rsid w:val="00E31EB1"/>
    <w:rsid w:val="00E34FE4"/>
    <w:rsid w:val="00E36916"/>
    <w:rsid w:val="00E44CC6"/>
    <w:rsid w:val="00E45705"/>
    <w:rsid w:val="00E45B93"/>
    <w:rsid w:val="00E51C4B"/>
    <w:rsid w:val="00E52F47"/>
    <w:rsid w:val="00E57569"/>
    <w:rsid w:val="00E6471F"/>
    <w:rsid w:val="00E654BD"/>
    <w:rsid w:val="00E734E3"/>
    <w:rsid w:val="00E74E37"/>
    <w:rsid w:val="00E80548"/>
    <w:rsid w:val="00E8262A"/>
    <w:rsid w:val="00E92FE7"/>
    <w:rsid w:val="00E95F7C"/>
    <w:rsid w:val="00EA4532"/>
    <w:rsid w:val="00EA4CA8"/>
    <w:rsid w:val="00EA50F2"/>
    <w:rsid w:val="00EA5108"/>
    <w:rsid w:val="00EB16FB"/>
    <w:rsid w:val="00EB18E4"/>
    <w:rsid w:val="00EB1ACC"/>
    <w:rsid w:val="00EB7CDB"/>
    <w:rsid w:val="00EC5E9C"/>
    <w:rsid w:val="00EC733C"/>
    <w:rsid w:val="00EC7543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F036E"/>
    <w:rsid w:val="00EF1127"/>
    <w:rsid w:val="00EF142E"/>
    <w:rsid w:val="00EF4360"/>
    <w:rsid w:val="00EF449C"/>
    <w:rsid w:val="00F02052"/>
    <w:rsid w:val="00F02081"/>
    <w:rsid w:val="00F12037"/>
    <w:rsid w:val="00F12CD8"/>
    <w:rsid w:val="00F14CFA"/>
    <w:rsid w:val="00F162BE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51DFE"/>
    <w:rsid w:val="00F544CF"/>
    <w:rsid w:val="00F552B4"/>
    <w:rsid w:val="00F6026A"/>
    <w:rsid w:val="00F61E44"/>
    <w:rsid w:val="00F63219"/>
    <w:rsid w:val="00F63B75"/>
    <w:rsid w:val="00F63CC7"/>
    <w:rsid w:val="00F641E5"/>
    <w:rsid w:val="00F7115E"/>
    <w:rsid w:val="00F72B40"/>
    <w:rsid w:val="00F76D95"/>
    <w:rsid w:val="00F80282"/>
    <w:rsid w:val="00F81DEF"/>
    <w:rsid w:val="00F84170"/>
    <w:rsid w:val="00F87D63"/>
    <w:rsid w:val="00FA592D"/>
    <w:rsid w:val="00FA701D"/>
    <w:rsid w:val="00FA7F3B"/>
    <w:rsid w:val="00FB71E8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2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25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62490-F091-4EE7-BCBD-7E3AA478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Yifan Li</cp:lastModifiedBy>
  <cp:revision>2</cp:revision>
  <cp:lastPrinted>2002-04-23T07:10:00Z</cp:lastPrinted>
  <dcterms:created xsi:type="dcterms:W3CDTF">2019-10-08T02:16:00Z</dcterms:created>
  <dcterms:modified xsi:type="dcterms:W3CDTF">2019-10-08T02:16:00Z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